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4D" w:rsidRPr="0017229C" w:rsidRDefault="0017229C" w:rsidP="0008583B">
      <w:pPr>
        <w:pStyle w:val="2"/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C32CCF" wp14:editId="4E9AB74C">
            <wp:simplePos x="0" y="0"/>
            <wp:positionH relativeFrom="page">
              <wp:posOffset>289560</wp:posOffset>
            </wp:positionH>
            <wp:positionV relativeFrom="paragraph">
              <wp:posOffset>-505460</wp:posOffset>
            </wp:positionV>
            <wp:extent cx="7560000" cy="162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0D9" w:rsidRPr="0017229C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right" w:tblpY="3490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D41AD" w:rsidRPr="0017229C" w:rsidTr="00E84C1D">
        <w:tc>
          <w:tcPr>
            <w:tcW w:w="4820" w:type="dxa"/>
            <w:vAlign w:val="center"/>
          </w:tcPr>
          <w:p w:rsidR="002D41AD" w:rsidRPr="0017229C" w:rsidRDefault="002D41AD" w:rsidP="00E84C1D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  </w:t>
            </w:r>
          </w:p>
          <w:p w:rsidR="002D41AD" w:rsidRPr="0017229C" w:rsidRDefault="002D41AD" w:rsidP="00E84C1D">
            <w:pPr>
              <w:tabs>
                <w:tab w:val="left" w:pos="4536"/>
              </w:tabs>
              <w:spacing w:line="259" w:lineRule="auto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17229C">
              <w:rPr>
                <w:b/>
                <w:color w:val="000000"/>
                <w:sz w:val="24"/>
                <w:szCs w:val="24"/>
                <w:lang w:eastAsia="ru-RU"/>
              </w:rPr>
              <w:t>УТВЕРЖДАЮ»</w:t>
            </w:r>
          </w:p>
        </w:tc>
      </w:tr>
      <w:tr w:rsidR="002D41AD" w:rsidRPr="0017229C" w:rsidTr="00E84C1D">
        <w:tc>
          <w:tcPr>
            <w:tcW w:w="4820" w:type="dxa"/>
          </w:tcPr>
          <w:p w:rsidR="002D41AD" w:rsidRPr="0017229C" w:rsidRDefault="002D41AD" w:rsidP="00E84C1D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 xml:space="preserve">Заместитель Генерального директора по </w:t>
            </w:r>
          </w:p>
          <w:p w:rsidR="002D41AD" w:rsidRPr="0017229C" w:rsidRDefault="002D41AD" w:rsidP="00E84C1D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 xml:space="preserve">технике и ИТ </w:t>
            </w:r>
          </w:p>
          <w:p w:rsidR="002D41AD" w:rsidRPr="0017229C" w:rsidRDefault="002D41AD" w:rsidP="00E84C1D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>ООО «</w:t>
            </w:r>
            <w:r w:rsidRPr="0017229C">
              <w:rPr>
                <w:sz w:val="24"/>
                <w:szCs w:val="24"/>
                <w:lang w:val="en-US"/>
              </w:rPr>
              <w:t>UNIVERSAL</w:t>
            </w:r>
            <w:r w:rsidRPr="0017229C">
              <w:rPr>
                <w:sz w:val="24"/>
                <w:szCs w:val="24"/>
              </w:rPr>
              <w:t xml:space="preserve"> </w:t>
            </w:r>
            <w:r w:rsidRPr="0017229C">
              <w:rPr>
                <w:sz w:val="24"/>
                <w:szCs w:val="24"/>
                <w:lang w:val="en-US"/>
              </w:rPr>
              <w:t>MOBILE</w:t>
            </w:r>
            <w:r w:rsidRPr="0017229C">
              <w:rPr>
                <w:sz w:val="24"/>
                <w:szCs w:val="24"/>
              </w:rPr>
              <w:t xml:space="preserve"> </w:t>
            </w:r>
            <w:r w:rsidRPr="0017229C">
              <w:rPr>
                <w:sz w:val="24"/>
                <w:szCs w:val="24"/>
                <w:lang w:val="en-US"/>
              </w:rPr>
              <w:t>SYSTEMS</w:t>
            </w:r>
            <w:r w:rsidRPr="0017229C">
              <w:rPr>
                <w:sz w:val="24"/>
                <w:szCs w:val="24"/>
              </w:rPr>
              <w:t>»</w:t>
            </w:r>
          </w:p>
          <w:p w:rsidR="002D41AD" w:rsidRPr="0017229C" w:rsidRDefault="002D41AD" w:rsidP="00E84C1D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D41AD" w:rsidRPr="0017229C" w:rsidTr="00E84C1D">
        <w:tc>
          <w:tcPr>
            <w:tcW w:w="4820" w:type="dxa"/>
          </w:tcPr>
          <w:p w:rsidR="002D41AD" w:rsidRPr="0017229C" w:rsidRDefault="002D41AD" w:rsidP="00E84C1D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color w:val="000000"/>
                <w:sz w:val="24"/>
                <w:szCs w:val="24"/>
                <w:lang w:eastAsia="ru-RU"/>
              </w:rPr>
              <w:t xml:space="preserve">________________ </w:t>
            </w:r>
            <w:r w:rsidRPr="0017229C">
              <w:rPr>
                <w:sz w:val="24"/>
                <w:szCs w:val="24"/>
              </w:rPr>
              <w:t>А.Р. Абдурахманов</w:t>
            </w:r>
          </w:p>
        </w:tc>
      </w:tr>
      <w:tr w:rsidR="002D41AD" w:rsidRPr="0017229C" w:rsidTr="00E84C1D">
        <w:tc>
          <w:tcPr>
            <w:tcW w:w="4820" w:type="dxa"/>
          </w:tcPr>
          <w:p w:rsidR="002D41AD" w:rsidRPr="0017229C" w:rsidRDefault="002D41AD" w:rsidP="00E84C1D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val="en-US" w:eastAsia="ru-RU"/>
              </w:rPr>
            </w:pPr>
            <w:r w:rsidRPr="0017229C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D41AD" w:rsidRPr="0017229C" w:rsidTr="00E84C1D">
        <w:tc>
          <w:tcPr>
            <w:tcW w:w="4820" w:type="dxa"/>
          </w:tcPr>
          <w:p w:rsidR="002D41AD" w:rsidRPr="0017229C" w:rsidRDefault="002D41AD" w:rsidP="004E3ED2">
            <w:pPr>
              <w:spacing w:line="259" w:lineRule="auto"/>
              <w:ind w:left="38"/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7229C"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 w:rsidR="004E3ED2">
              <w:rPr>
                <w:color w:val="000000"/>
                <w:sz w:val="24"/>
                <w:szCs w:val="24"/>
                <w:lang w:eastAsia="ru-RU"/>
              </w:rPr>
              <w:t>4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2D41AD" w:rsidRDefault="002D41A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29C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29C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29C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4244D" w:rsidRPr="00497AEA" w:rsidTr="0098037B">
        <w:tc>
          <w:tcPr>
            <w:tcW w:w="9355" w:type="dxa"/>
          </w:tcPr>
          <w:p w:rsidR="002D41AD" w:rsidRDefault="002D41AD" w:rsidP="0017229C">
            <w:pPr>
              <w:spacing w:after="100"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2D41AD" w:rsidRDefault="002D41AD" w:rsidP="0017229C">
            <w:pPr>
              <w:spacing w:after="100"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2D41AD" w:rsidRDefault="002D41AD" w:rsidP="0017229C">
            <w:pPr>
              <w:spacing w:after="100"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2D41AD" w:rsidRDefault="002D41AD" w:rsidP="0017229C">
            <w:pPr>
              <w:spacing w:after="100"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2D41AD" w:rsidRDefault="002D41AD" w:rsidP="0017229C">
            <w:pPr>
              <w:spacing w:after="100"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2D41AD" w:rsidRDefault="002D41AD" w:rsidP="0017229C">
            <w:pPr>
              <w:spacing w:after="100"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2D41AD" w:rsidRDefault="008710D9" w:rsidP="0017229C">
            <w:pPr>
              <w:spacing w:after="100" w:line="259" w:lineRule="auto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  <w:p w:rsidR="00937764" w:rsidRDefault="008710D9" w:rsidP="002D41AD">
            <w:pPr>
              <w:spacing w:line="288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="00FE1B42">
              <w:rPr>
                <w:b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937764">
              <w:rPr>
                <w:b/>
                <w:color w:val="000000"/>
                <w:sz w:val="24"/>
                <w:szCs w:val="24"/>
                <w:lang w:eastAsia="ru-RU"/>
              </w:rPr>
              <w:t xml:space="preserve">оказание услуг по активации технической поддержки </w:t>
            </w:r>
          </w:p>
          <w:p w:rsidR="0098037B" w:rsidRPr="0017229C" w:rsidRDefault="00937764" w:rsidP="002D41AD">
            <w:pPr>
              <w:spacing w:line="288" w:lineRule="auto"/>
              <w:contextualSpacing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оборудования </w:t>
            </w:r>
            <w:r w:rsidR="00497AEA">
              <w:rPr>
                <w:b/>
                <w:color w:val="000000"/>
                <w:sz w:val="24"/>
                <w:szCs w:val="24"/>
                <w:lang w:eastAsia="ru-RU"/>
              </w:rPr>
              <w:t xml:space="preserve">системы </w:t>
            </w:r>
            <w:r w:rsidR="002D41AD">
              <w:rPr>
                <w:b/>
                <w:color w:val="000000"/>
                <w:sz w:val="24"/>
                <w:szCs w:val="24"/>
                <w:lang w:eastAsia="ru-RU"/>
              </w:rPr>
              <w:t xml:space="preserve">хранения данных </w:t>
            </w:r>
            <w:r w:rsidR="00497AEA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229C">
              <w:rPr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94244D" w:rsidRPr="004E3ED2" w:rsidRDefault="00871B0D" w:rsidP="002D41AD">
            <w:pPr>
              <w:spacing w:line="288" w:lineRule="auto"/>
              <w:contextualSpacing/>
              <w:jc w:val="center"/>
              <w:rPr>
                <w:i/>
                <w:color w:val="000000"/>
                <w:sz w:val="24"/>
                <w:szCs w:val="24"/>
                <w:lang w:eastAsia="ru-RU"/>
              </w:rPr>
            </w:pPr>
            <w:r w:rsidRPr="00497AEA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37B" w:rsidRPr="0098037B">
              <w:rPr>
                <w:b/>
                <w:color w:val="000000"/>
                <w:sz w:val="24"/>
                <w:szCs w:val="24"/>
                <w:lang w:eastAsia="ru-RU"/>
              </w:rPr>
              <w:t>для</w:t>
            </w:r>
            <w:r w:rsidR="0098037B" w:rsidRPr="004E3ED2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37B" w:rsidRPr="0098037B">
              <w:rPr>
                <w:b/>
                <w:color w:val="000000"/>
                <w:sz w:val="24"/>
                <w:szCs w:val="24"/>
                <w:lang w:eastAsia="ru-RU"/>
              </w:rPr>
              <w:t>нужд</w:t>
            </w:r>
            <w:r w:rsidR="0098037B" w:rsidRPr="004E3ED2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37B" w:rsidRPr="0098037B">
              <w:rPr>
                <w:b/>
                <w:color w:val="000000"/>
                <w:sz w:val="24"/>
                <w:szCs w:val="24"/>
                <w:lang w:eastAsia="ru-RU"/>
              </w:rPr>
              <w:t>ООО</w:t>
            </w:r>
            <w:r w:rsidR="0098037B" w:rsidRPr="004E3ED2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3808" w:rsidRPr="004E3ED2">
              <w:rPr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3C3808" w:rsidRPr="003C3808">
              <w:rPr>
                <w:b/>
                <w:color w:val="000000"/>
                <w:sz w:val="24"/>
                <w:szCs w:val="24"/>
                <w:lang w:val="en-US" w:eastAsia="ru-RU"/>
              </w:rPr>
              <w:t>Universal</w:t>
            </w:r>
            <w:r w:rsidR="003C3808" w:rsidRPr="004E3ED2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3808" w:rsidRPr="003C3808">
              <w:rPr>
                <w:b/>
                <w:color w:val="000000"/>
                <w:sz w:val="24"/>
                <w:szCs w:val="24"/>
                <w:lang w:val="en-US" w:eastAsia="ru-RU"/>
              </w:rPr>
              <w:t>Mobile</w:t>
            </w:r>
            <w:r w:rsidR="003C3808" w:rsidRPr="004E3ED2">
              <w:rPr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C3808" w:rsidRPr="003C3808">
              <w:rPr>
                <w:b/>
                <w:color w:val="000000"/>
                <w:sz w:val="24"/>
                <w:szCs w:val="24"/>
                <w:lang w:val="en-US" w:eastAsia="ru-RU"/>
              </w:rPr>
              <w:t>System</w:t>
            </w:r>
            <w:r w:rsidR="003C3808" w:rsidRPr="004E3ED2">
              <w:rPr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4244D" w:rsidRPr="00497AEA" w:rsidTr="0098037B">
        <w:tc>
          <w:tcPr>
            <w:tcW w:w="9355" w:type="dxa"/>
          </w:tcPr>
          <w:p w:rsidR="0094244D" w:rsidRPr="004E3ED2" w:rsidRDefault="0094244D" w:rsidP="0008583B">
            <w:pPr>
              <w:spacing w:after="100" w:line="259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4244D" w:rsidRPr="004E3ED2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4E3ED2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4E3ED2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4E3ED2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4E3ED2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4E3ED2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4E3ED2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4E3ED2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4E3ED2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4E3ED2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94244D" w:rsidRDefault="008710D9" w:rsidP="0008583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D41A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E3E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4244D" w:rsidRDefault="008710D9" w:rsidP="0008583B">
          <w:pPr>
            <w:pStyle w:val="a6"/>
            <w:spacing w:before="0" w:after="100"/>
            <w:jc w:val="both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Оглавление</w:t>
          </w:r>
        </w:p>
        <w:p w:rsidR="00DA63FE" w:rsidRPr="00506F18" w:rsidRDefault="008710D9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69904325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Общие сведения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_Toc69904325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6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1.1 Наименование оказываемых услуг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_Toc69904326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7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1.2 Основание и цель использования оказываемых услуг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_Toc69904327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8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1.3 Перечень услуг (</w:t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SLA)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_Toc69904328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9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Область применения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_Toc69904329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0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Общие требования к участнику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_Toc69904330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1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Сроки  оказания услуг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_Toc69904331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2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к безопасности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_Toc69904332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3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по правилам сдачи и приёмки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_Toc69904333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4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к объёму и/или сроку предоставления гарантий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_Toc69904334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5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Процедура передачи исключительных прав и иных документов на объект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_Toc69904335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6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по техническому обучению персонала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_Toc69904336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7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Дополнительные требования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_Toc69904337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B4598F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8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Перечень принятых сокращений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_Toc69904338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Default="00B4598F" w:rsidP="0008583B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9904339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Перечень приложений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_Toc69904339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457B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4244D" w:rsidRDefault="008710D9" w:rsidP="0008583B">
          <w:pPr>
            <w:spacing w:after="10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506F18">
      <w:pPr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69904325"/>
      <w:r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4D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69904326"/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0A2EEE">
        <w:rPr>
          <w:rFonts w:ascii="Times New Roman" w:hAnsi="Times New Roman" w:cs="Times New Roman"/>
          <w:sz w:val="24"/>
          <w:szCs w:val="24"/>
        </w:rPr>
        <w:t>Наименование оказываемых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bookmarkEnd w:id="1"/>
    </w:p>
    <w:p w:rsidR="001D6C43" w:rsidRDefault="002613ED" w:rsidP="002E2246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технической поддержке оборудования </w:t>
      </w:r>
      <w:r w:rsidR="00497AEA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2E2246">
        <w:rPr>
          <w:rFonts w:ascii="Times New Roman" w:hAnsi="Times New Roman" w:cs="Times New Roman"/>
          <w:sz w:val="24"/>
          <w:szCs w:val="24"/>
        </w:rPr>
        <w:t>хранения данных</w:t>
      </w:r>
      <w:r>
        <w:rPr>
          <w:rFonts w:ascii="Times New Roman" w:hAnsi="Times New Roman" w:cs="Times New Roman"/>
          <w:sz w:val="24"/>
          <w:szCs w:val="24"/>
        </w:rPr>
        <w:t xml:space="preserve"> (далее – Оборудование)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производител</w:t>
      </w:r>
      <w:r w:rsidR="00497AE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AEA">
        <w:rPr>
          <w:rFonts w:ascii="Times New Roman" w:hAnsi="Times New Roman" w:cs="Times New Roman"/>
          <w:sz w:val="24"/>
          <w:szCs w:val="24"/>
        </w:rPr>
        <w:t xml:space="preserve"> </w:t>
      </w:r>
      <w:r w:rsidR="00923571">
        <w:rPr>
          <w:rFonts w:ascii="Times New Roman" w:hAnsi="Times New Roman" w:cs="Times New Roman"/>
          <w:sz w:val="24"/>
          <w:szCs w:val="24"/>
          <w:lang w:val="en-US"/>
        </w:rPr>
        <w:t>Hitachi</w:t>
      </w:r>
      <w:proofErr w:type="gramEnd"/>
      <w:r w:rsidR="00923571" w:rsidRPr="002E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571">
        <w:rPr>
          <w:rFonts w:ascii="Times New Roman" w:hAnsi="Times New Roman" w:cs="Times New Roman"/>
          <w:sz w:val="24"/>
          <w:szCs w:val="24"/>
          <w:lang w:val="en-US"/>
        </w:rPr>
        <w:t>Vantara</w:t>
      </w:r>
      <w:proofErr w:type="spellEnd"/>
      <w:r w:rsidR="00923571" w:rsidRPr="002E2246">
        <w:rPr>
          <w:rFonts w:ascii="Times New Roman" w:hAnsi="Times New Roman" w:cs="Times New Roman"/>
          <w:sz w:val="24"/>
          <w:szCs w:val="24"/>
        </w:rPr>
        <w:t xml:space="preserve"> </w:t>
      </w:r>
      <w:r w:rsidR="00923571">
        <w:rPr>
          <w:rFonts w:ascii="Times New Roman" w:hAnsi="Times New Roman" w:cs="Times New Roman"/>
          <w:sz w:val="24"/>
          <w:szCs w:val="24"/>
        </w:rPr>
        <w:t>и</w:t>
      </w:r>
      <w:r w:rsidR="00923571" w:rsidRPr="002E2246">
        <w:rPr>
          <w:rFonts w:ascii="Times New Roman" w:hAnsi="Times New Roman" w:cs="Times New Roman"/>
          <w:sz w:val="24"/>
          <w:szCs w:val="24"/>
        </w:rPr>
        <w:t xml:space="preserve"> </w:t>
      </w:r>
      <w:r w:rsidR="00923571">
        <w:rPr>
          <w:rFonts w:ascii="Times New Roman" w:hAnsi="Times New Roman" w:cs="Times New Roman"/>
          <w:sz w:val="24"/>
          <w:szCs w:val="24"/>
          <w:lang w:val="en-US"/>
        </w:rPr>
        <w:t>Brocade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установленного на технологических площадках </w:t>
      </w:r>
      <w:r w:rsidR="001D6C43" w:rsidRPr="00D94F9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C3808" w:rsidRPr="003C3808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="003C3808" w:rsidRPr="003C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808" w:rsidRPr="003C3808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="003C3808" w:rsidRPr="003C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808" w:rsidRPr="003C3808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5449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D6C43" w:rsidRPr="00D94F95">
        <w:rPr>
          <w:rFonts w:ascii="Times New Roman" w:hAnsi="Times New Roman" w:cs="Times New Roman"/>
          <w:sz w:val="24"/>
          <w:szCs w:val="24"/>
        </w:rPr>
        <w:t>» (далее – Заказчик</w:t>
      </w:r>
      <w:r w:rsidR="00D94F95" w:rsidRPr="00D94F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включая управление услугами по ремонту, замене и предоставлению запасных частей.</w:t>
      </w:r>
      <w:r w:rsidR="003879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583B" w:rsidRPr="00D94F95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69904327"/>
      <w:r>
        <w:rPr>
          <w:rFonts w:ascii="Times New Roman" w:hAnsi="Times New Roman" w:cs="Times New Roman"/>
          <w:sz w:val="24"/>
          <w:szCs w:val="24"/>
        </w:rPr>
        <w:t>1.2 Основание и цель использования оказываемых услуг</w:t>
      </w:r>
      <w:bookmarkEnd w:id="2"/>
    </w:p>
    <w:p w:rsidR="00D94F95" w:rsidRPr="00D94F95" w:rsidRDefault="00D94F95" w:rsidP="000F0F32">
      <w:pPr>
        <w:pStyle w:val="af"/>
        <w:spacing w:after="0" w:line="264" w:lineRule="auto"/>
        <w:ind w:left="0" w:firstLine="567"/>
        <w:jc w:val="both"/>
        <w:rPr>
          <w:sz w:val="24"/>
          <w:szCs w:val="24"/>
          <w:lang w:val="ru-RU"/>
        </w:rPr>
      </w:pPr>
      <w:r w:rsidRPr="00D94F95">
        <w:rPr>
          <w:rFonts w:ascii="Times New Roman" w:hAnsi="Times New Roman" w:cs="Times New Roman"/>
          <w:sz w:val="24"/>
          <w:szCs w:val="24"/>
          <w:lang w:val="ru-RU"/>
        </w:rPr>
        <w:t>Целью а</w:t>
      </w:r>
      <w:r>
        <w:rPr>
          <w:rFonts w:ascii="Times New Roman" w:hAnsi="Times New Roman" w:cs="Times New Roman"/>
          <w:sz w:val="24"/>
          <w:szCs w:val="24"/>
          <w:lang w:val="ru-RU"/>
        </w:rPr>
        <w:t>ктивации технической поддержки О</w:t>
      </w:r>
      <w:r w:rsidRPr="00D94F95">
        <w:rPr>
          <w:rFonts w:ascii="Times New Roman" w:hAnsi="Times New Roman" w:cs="Times New Roman"/>
          <w:sz w:val="24"/>
          <w:szCs w:val="24"/>
          <w:lang w:val="ru-RU"/>
        </w:rPr>
        <w:t xml:space="preserve">борудования на непрерывной основе является поддержание систем, обрабатывающих данные абонентов компании </w:t>
      </w:r>
      <w:bookmarkStart w:id="3" w:name="_Toc62213566"/>
      <w:bookmarkStart w:id="4" w:name="_Toc23416332"/>
      <w:bookmarkStart w:id="5" w:name="_Toc24726623"/>
      <w:r w:rsidR="002E2246">
        <w:rPr>
          <w:rFonts w:ascii="Times New Roman" w:hAnsi="Times New Roman" w:cs="Times New Roman"/>
          <w:sz w:val="24"/>
          <w:szCs w:val="24"/>
          <w:lang w:val="ru-RU"/>
        </w:rPr>
        <w:t xml:space="preserve">и их сервисов, систем </w:t>
      </w:r>
      <w:proofErr w:type="spellStart"/>
      <w:r w:rsidR="002E2246">
        <w:rPr>
          <w:rFonts w:ascii="Times New Roman" w:hAnsi="Times New Roman" w:cs="Times New Roman"/>
          <w:sz w:val="24"/>
          <w:szCs w:val="24"/>
          <w:lang w:val="ru-RU"/>
        </w:rPr>
        <w:t>биллинга</w:t>
      </w:r>
      <w:proofErr w:type="spellEnd"/>
      <w:r w:rsidR="002E22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3808" w:rsidRPr="003C3808">
        <w:rPr>
          <w:rFonts w:ascii="Times New Roman" w:hAnsi="Times New Roman" w:cs="Times New Roman"/>
          <w:sz w:val="24"/>
          <w:szCs w:val="24"/>
          <w:lang w:val="ru-RU"/>
        </w:rPr>
        <w:t xml:space="preserve">и сокращение издержек, связанных с отказами оборудования и информационных систем </w:t>
      </w:r>
      <w:r w:rsidR="003C3808">
        <w:rPr>
          <w:rFonts w:ascii="Times New Roman" w:hAnsi="Times New Roman" w:cs="Times New Roman"/>
          <w:sz w:val="24"/>
          <w:szCs w:val="24"/>
          <w:lang w:val="ru-RU"/>
        </w:rPr>
        <w:t>Заказчика.</w:t>
      </w:r>
    </w:p>
    <w:p w:rsidR="00D94F95" w:rsidRPr="003774F1" w:rsidRDefault="00D94F95" w:rsidP="000F0F32">
      <w:pPr>
        <w:pStyle w:val="af"/>
        <w:spacing w:after="0" w:line="264" w:lineRule="auto"/>
        <w:ind w:left="0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774F1">
        <w:rPr>
          <w:rFonts w:ascii="Times New Roman" w:hAnsi="Times New Roman" w:cs="Times New Roman"/>
          <w:sz w:val="24"/>
          <w:szCs w:val="24"/>
          <w:lang w:val="ru-RU" w:eastAsia="ru-RU"/>
        </w:rPr>
        <w:t>Основанием для реализации проекта явля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</w:t>
      </w:r>
      <w:r w:rsidRPr="003774F1">
        <w:rPr>
          <w:rFonts w:ascii="Times New Roman" w:hAnsi="Times New Roman" w:cs="Times New Roman"/>
          <w:sz w:val="24"/>
          <w:szCs w:val="24"/>
          <w:lang w:val="ru-RU" w:eastAsia="ru-RU"/>
        </w:rPr>
        <w:t>тся:</w:t>
      </w:r>
      <w:bookmarkEnd w:id="3"/>
    </w:p>
    <w:p w:rsidR="00D94F95" w:rsidRPr="0063229E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6" w:name="_Toc62213567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>окончание срока действия гарантийной технической поддержки на Оборудование;</w:t>
      </w:r>
      <w:bookmarkEnd w:id="6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D94F95" w:rsidRPr="0063229E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7" w:name="_Toc62213568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>обеспечение надежности и отказоустойчивости Оборудования и ИТ</w:t>
      </w:r>
      <w:r w:rsidR="002E2246">
        <w:rPr>
          <w:rFonts w:ascii="Times New Roman" w:hAnsi="Times New Roman" w:cs="Times New Roman"/>
          <w:sz w:val="24"/>
          <w:szCs w:val="24"/>
          <w:lang w:val="ru-RU" w:eastAsia="ru-RU"/>
        </w:rPr>
        <w:t>-сервисов, работающих на данном оборудовании</w:t>
      </w:r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  <w:bookmarkEnd w:id="7"/>
    </w:p>
    <w:p w:rsidR="00A64313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8" w:name="_Toc62213570"/>
      <w:r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аличие бюджетных средств ООО</w:t>
      </w:r>
      <w:r w:rsid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 w:rsidR="000034F9" w:rsidRPr="003C3808">
        <w:rPr>
          <w:rFonts w:ascii="Times New Roman" w:hAnsi="Times New Roman" w:cs="Times New Roman"/>
          <w:sz w:val="24"/>
          <w:szCs w:val="24"/>
        </w:rPr>
        <w:t>Universal</w:t>
      </w:r>
      <w:r w:rsidR="000034F9" w:rsidRPr="00003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4F9" w:rsidRPr="003C3808">
        <w:rPr>
          <w:rFonts w:ascii="Times New Roman" w:hAnsi="Times New Roman" w:cs="Times New Roman"/>
          <w:sz w:val="24"/>
          <w:szCs w:val="24"/>
        </w:rPr>
        <w:t>Mobile</w:t>
      </w:r>
      <w:r w:rsidR="000034F9" w:rsidRPr="00003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4F9" w:rsidRPr="003C3808">
        <w:rPr>
          <w:rFonts w:ascii="Times New Roman" w:hAnsi="Times New Roman" w:cs="Times New Roman"/>
          <w:sz w:val="24"/>
          <w:szCs w:val="24"/>
        </w:rPr>
        <w:t>System</w:t>
      </w:r>
      <w:r w:rsidR="000034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AC20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направленных на техническую поддержку оборудования ИТ-инфраструктуры</w:t>
      </w:r>
      <w:r w:rsidR="00A6431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4244D" w:rsidRPr="0008583B" w:rsidRDefault="00D94F95" w:rsidP="000F0F32">
      <w:pPr>
        <w:pStyle w:val="af"/>
        <w:numPr>
          <w:ilvl w:val="0"/>
          <w:numId w:val="4"/>
        </w:numPr>
        <w:tabs>
          <w:tab w:val="left" w:pos="993"/>
        </w:tabs>
        <w:spacing w:after="0" w:line="264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план закупок </w:t>
      </w:r>
      <w:r w:rsidR="000034F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</w:t>
      </w:r>
      <w:r w:rsidR="00A004A6">
        <w:rPr>
          <w:rFonts w:ascii="Times New Roman" w:hAnsi="Times New Roman" w:cs="Times New Roman"/>
          <w:sz w:val="24"/>
          <w:szCs w:val="24"/>
          <w:lang w:val="ru-RU" w:eastAsia="ru-RU"/>
        </w:rPr>
        <w:t>ИТ на 2024</w:t>
      </w:r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bookmarkEnd w:id="8"/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bookmarkEnd w:id="4"/>
      <w:bookmarkEnd w:id="5"/>
      <w:r w:rsidR="00A64313"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08583B" w:rsidRPr="00A64313" w:rsidRDefault="0008583B" w:rsidP="0008583B">
      <w:pPr>
        <w:pStyle w:val="af"/>
        <w:tabs>
          <w:tab w:val="left" w:pos="993"/>
        </w:tabs>
        <w:spacing w:after="100" w:line="259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4244D" w:rsidRPr="00871B0D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69904328"/>
      <w:r>
        <w:rPr>
          <w:rFonts w:ascii="Times New Roman" w:hAnsi="Times New Roman" w:cs="Times New Roman"/>
          <w:sz w:val="24"/>
          <w:szCs w:val="24"/>
        </w:rPr>
        <w:t>1.3 Перечень услуг</w:t>
      </w:r>
      <w:r w:rsidR="00780833">
        <w:rPr>
          <w:rFonts w:ascii="Times New Roman" w:hAnsi="Times New Roman" w:cs="Times New Roman"/>
          <w:sz w:val="24"/>
          <w:szCs w:val="24"/>
        </w:rPr>
        <w:t xml:space="preserve"> (</w:t>
      </w:r>
      <w:r w:rsidR="00780833">
        <w:rPr>
          <w:rFonts w:ascii="Times New Roman" w:hAnsi="Times New Roman" w:cs="Times New Roman"/>
          <w:sz w:val="24"/>
          <w:szCs w:val="24"/>
          <w:lang w:val="en-US"/>
        </w:rPr>
        <w:t>SLA</w:t>
      </w:r>
      <w:r w:rsidR="00780833" w:rsidRPr="00871B0D">
        <w:rPr>
          <w:rFonts w:ascii="Times New Roman" w:hAnsi="Times New Roman" w:cs="Times New Roman"/>
          <w:sz w:val="24"/>
          <w:szCs w:val="24"/>
        </w:rPr>
        <w:t>)</w:t>
      </w:r>
      <w:bookmarkEnd w:id="9"/>
    </w:p>
    <w:p w:rsidR="00A64313" w:rsidRPr="00A64313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Срок действия текущего сервисного контракта: </w:t>
      </w:r>
      <w:r w:rsidRPr="000A2EE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653FA4">
        <w:rPr>
          <w:rFonts w:ascii="Times New Roman" w:hAnsi="Times New Roman" w:cs="Times New Roman"/>
          <w:b/>
          <w:sz w:val="24"/>
          <w:szCs w:val="24"/>
        </w:rPr>
        <w:t>31</w:t>
      </w:r>
      <w:r w:rsidR="002E2246">
        <w:rPr>
          <w:rFonts w:ascii="Times New Roman" w:hAnsi="Times New Roman" w:cs="Times New Roman"/>
          <w:b/>
          <w:sz w:val="24"/>
          <w:szCs w:val="24"/>
        </w:rPr>
        <w:t>.</w:t>
      </w:r>
      <w:r w:rsidR="00653FA4">
        <w:rPr>
          <w:rFonts w:ascii="Times New Roman" w:hAnsi="Times New Roman" w:cs="Times New Roman"/>
          <w:b/>
          <w:sz w:val="24"/>
          <w:szCs w:val="24"/>
        </w:rPr>
        <w:t>12</w:t>
      </w:r>
      <w:r w:rsidR="002E2246">
        <w:rPr>
          <w:rFonts w:ascii="Times New Roman" w:hAnsi="Times New Roman" w:cs="Times New Roman"/>
          <w:b/>
          <w:sz w:val="24"/>
          <w:szCs w:val="24"/>
        </w:rPr>
        <w:t>.2024</w:t>
      </w:r>
      <w:r w:rsidRPr="000A2EEE">
        <w:rPr>
          <w:rFonts w:ascii="Times New Roman" w:hAnsi="Times New Roman" w:cs="Times New Roman"/>
          <w:b/>
          <w:sz w:val="24"/>
          <w:szCs w:val="24"/>
        </w:rPr>
        <w:t>.</w:t>
      </w:r>
    </w:p>
    <w:p w:rsidR="00A64313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Уровень технической поддержки: </w:t>
      </w:r>
      <w:r w:rsidR="002E224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E2246" w:rsidRPr="002E2246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="002E2246" w:rsidRPr="002E22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246" w:rsidRPr="002E2246">
        <w:rPr>
          <w:rFonts w:ascii="Times New Roman" w:hAnsi="Times New Roman" w:cs="Times New Roman"/>
          <w:sz w:val="24"/>
          <w:szCs w:val="24"/>
        </w:rPr>
        <w:t>guarantee</w:t>
      </w:r>
      <w:proofErr w:type="spellEnd"/>
      <w:r w:rsidR="002E2246">
        <w:rPr>
          <w:rFonts w:ascii="Times New Roman" w:hAnsi="Times New Roman" w:cs="Times New Roman"/>
          <w:sz w:val="24"/>
          <w:szCs w:val="24"/>
        </w:rPr>
        <w:t>»</w:t>
      </w:r>
      <w:r w:rsidR="002E2246" w:rsidRPr="00A64313">
        <w:rPr>
          <w:rFonts w:ascii="Times New Roman" w:hAnsi="Times New Roman" w:cs="Times New Roman"/>
          <w:sz w:val="24"/>
          <w:szCs w:val="24"/>
        </w:rPr>
        <w:t xml:space="preserve"> </w:t>
      </w:r>
      <w:r w:rsidRPr="00A64313">
        <w:rPr>
          <w:rFonts w:ascii="Times New Roman" w:hAnsi="Times New Roman" w:cs="Times New Roman"/>
          <w:sz w:val="24"/>
          <w:szCs w:val="24"/>
        </w:rPr>
        <w:t xml:space="preserve">– обслуживание с круглосуточным приемом заявок на обслуживание от Заказчика. </w:t>
      </w:r>
    </w:p>
    <w:p w:rsidR="002B7A4E" w:rsidRDefault="002B7A4E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7A4E">
        <w:rPr>
          <w:rFonts w:ascii="Times New Roman" w:hAnsi="Times New Roman" w:cs="Times New Roman"/>
          <w:sz w:val="24"/>
          <w:szCs w:val="24"/>
        </w:rPr>
        <w:t xml:space="preserve">Техническая поддержка системы оборудования хранения данных, в соответствии с Приложением №1, выстроена согласно «Политике жизненного цикла технической поддержки», и предусматривает непрерывный характер оказания услуг технической поддержки, согласно политике </w:t>
      </w:r>
      <w:proofErr w:type="spellStart"/>
      <w:r w:rsidRPr="002B7A4E">
        <w:rPr>
          <w:rFonts w:ascii="Times New Roman" w:hAnsi="Times New Roman" w:cs="Times New Roman"/>
          <w:sz w:val="24"/>
          <w:szCs w:val="24"/>
        </w:rPr>
        <w:t>Hitachi</w:t>
      </w:r>
      <w:proofErr w:type="spellEnd"/>
      <w:r w:rsidRPr="002B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A4E">
        <w:rPr>
          <w:rFonts w:ascii="Times New Roman" w:hAnsi="Times New Roman" w:cs="Times New Roman"/>
          <w:sz w:val="24"/>
          <w:szCs w:val="24"/>
        </w:rPr>
        <w:t>Vantara</w:t>
      </w:r>
      <w:proofErr w:type="spellEnd"/>
      <w:r w:rsidRPr="002B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A4E">
        <w:rPr>
          <w:rFonts w:ascii="Times New Roman" w:hAnsi="Times New Roman" w:cs="Times New Roman"/>
          <w:sz w:val="24"/>
          <w:szCs w:val="24"/>
        </w:rPr>
        <w:t>Austria</w:t>
      </w:r>
      <w:proofErr w:type="spellEnd"/>
      <w:r w:rsidRPr="002B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A4E">
        <w:rPr>
          <w:rFonts w:ascii="Times New Roman" w:hAnsi="Times New Roman" w:cs="Times New Roman"/>
          <w:sz w:val="24"/>
          <w:szCs w:val="24"/>
        </w:rPr>
        <w:t>GmbH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86714">
          <w:rPr>
            <w:rStyle w:val="a7"/>
            <w:sz w:val="23"/>
            <w:szCs w:val="23"/>
          </w:rPr>
          <w:t>https://knowledge.hitachivantara.com/Support_Information/More_Info/Product_Life-Cycle_Matrix</w:t>
        </w:r>
      </w:hyperlink>
    </w:p>
    <w:p w:rsidR="00A64313" w:rsidRPr="00A64313" w:rsidRDefault="002B7A4E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313" w:rsidRPr="00A64313">
        <w:rPr>
          <w:rFonts w:ascii="Times New Roman" w:hAnsi="Times New Roman" w:cs="Times New Roman"/>
          <w:sz w:val="24"/>
          <w:szCs w:val="24"/>
        </w:rPr>
        <w:t xml:space="preserve">В рамках данного уровня </w:t>
      </w:r>
      <w:r w:rsidR="006B7F69" w:rsidRPr="00A64313">
        <w:rPr>
          <w:rFonts w:ascii="Times New Roman" w:hAnsi="Times New Roman" w:cs="Times New Roman"/>
          <w:sz w:val="24"/>
          <w:szCs w:val="24"/>
        </w:rPr>
        <w:t xml:space="preserve">сервиса </w:t>
      </w:r>
      <w:r w:rsidR="006B7F69">
        <w:rPr>
          <w:rFonts w:ascii="Times New Roman" w:hAnsi="Times New Roman" w:cs="Times New Roman"/>
          <w:sz w:val="24"/>
          <w:szCs w:val="24"/>
        </w:rPr>
        <w:t>предусматриваются</w:t>
      </w:r>
      <w:r w:rsidR="00A64313" w:rsidRPr="00A64313">
        <w:rPr>
          <w:rFonts w:ascii="Times New Roman" w:hAnsi="Times New Roman" w:cs="Times New Roman"/>
          <w:sz w:val="24"/>
          <w:szCs w:val="24"/>
        </w:rPr>
        <w:t xml:space="preserve"> следующие опции: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1"/>
        <w:gridCol w:w="3018"/>
      </w:tblGrid>
      <w:tr w:rsidR="006B7F69" w:rsidRPr="008457BF" w:rsidTr="00A62675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6B7F69" w:rsidRPr="008457BF" w:rsidRDefault="006B7F69" w:rsidP="0008583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57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457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Функционал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6B7F69" w:rsidRPr="008457BF" w:rsidRDefault="000F0F32" w:rsidP="0008583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57BF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Стандартная техническая поддержка</w:t>
            </w:r>
          </w:p>
        </w:tc>
      </w:tr>
      <w:tr w:rsidR="006B7F69" w:rsidRPr="008457BF" w:rsidTr="00A62675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8457BF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BF">
              <w:rPr>
                <w:rFonts w:ascii="Times New Roman" w:hAnsi="Times New Roman" w:cs="Times New Roman"/>
                <w:sz w:val="20"/>
                <w:szCs w:val="20"/>
              </w:rPr>
              <w:t>Неограниченный доступ к технической поддержке по телефону и Интернету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8457BF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рабочее время</w:t>
            </w:r>
          </w:p>
        </w:tc>
      </w:tr>
      <w:tr w:rsidR="006B7F69" w:rsidRPr="008457BF" w:rsidTr="00A62675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8457BF" w:rsidRDefault="006B7F69" w:rsidP="000F0F32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57BF">
              <w:rPr>
                <w:rFonts w:ascii="Times New Roman" w:hAnsi="Times New Roman" w:cs="Times New Roman"/>
                <w:sz w:val="20"/>
                <w:szCs w:val="20"/>
              </w:rPr>
              <w:t>Срок действия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8457BF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</w:t>
            </w:r>
          </w:p>
        </w:tc>
      </w:tr>
      <w:tr w:rsidR="006B7F69" w:rsidRPr="008457BF" w:rsidTr="00A62675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8457BF" w:rsidRDefault="00780833" w:rsidP="000F0F32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57BF">
              <w:rPr>
                <w:rFonts w:ascii="Times New Roman" w:hAnsi="Times New Roman" w:cs="Times New Roman"/>
                <w:sz w:val="20"/>
                <w:szCs w:val="20"/>
              </w:rPr>
              <w:t>RMA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8457BF" w:rsidRDefault="006B7F69" w:rsidP="000F0F32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57BF">
              <w:rPr>
                <w:rFonts w:ascii="Times New Roman" w:hAnsi="Times New Roman" w:cs="Times New Roman"/>
                <w:sz w:val="20"/>
                <w:szCs w:val="20"/>
              </w:rPr>
              <w:t>Включена</w:t>
            </w:r>
          </w:p>
        </w:tc>
      </w:tr>
      <w:tr w:rsidR="006B7F69" w:rsidRPr="008457BF" w:rsidTr="00A62675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8457BF" w:rsidRDefault="006B7F69" w:rsidP="000F0F32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57BF">
              <w:rPr>
                <w:rFonts w:ascii="Times New Roman" w:hAnsi="Times New Roman" w:cs="Times New Roman"/>
                <w:sz w:val="20"/>
                <w:szCs w:val="20"/>
              </w:rPr>
              <w:t xml:space="preserve">Число инцидентов 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8457BF" w:rsidRDefault="006B7F69" w:rsidP="000F0F32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57BF">
              <w:rPr>
                <w:rFonts w:ascii="Times New Roman" w:hAnsi="Times New Roman" w:cs="Times New Roman"/>
                <w:sz w:val="20"/>
                <w:szCs w:val="20"/>
              </w:rPr>
              <w:t>Неограниченно</w:t>
            </w:r>
          </w:p>
        </w:tc>
      </w:tr>
      <w:tr w:rsidR="006B7F69" w:rsidRPr="008457BF" w:rsidTr="00A62675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8457BF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Доступ к обновлениям и исправлениям ПО </w:t>
            </w:r>
            <w:proofErr w:type="spellStart"/>
            <w:r w:rsidRPr="00845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spellEnd"/>
            <w:r w:rsidRPr="00845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мере их появления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8457BF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Включена</w:t>
            </w:r>
          </w:p>
        </w:tc>
      </w:tr>
      <w:tr w:rsidR="006B7F69" w:rsidRPr="008457BF" w:rsidTr="00A62675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8457BF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Заведение и отслеживание состояния заявки в </w:t>
            </w:r>
            <w:proofErr w:type="spellStart"/>
            <w:r w:rsidRPr="00845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онлайне</w:t>
            </w:r>
            <w:proofErr w:type="spellEnd"/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8457BF" w:rsidRDefault="006B7F69" w:rsidP="000F0F3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57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</w:t>
            </w:r>
          </w:p>
        </w:tc>
      </w:tr>
    </w:tbl>
    <w:p w:rsidR="006B7F6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взаимодействие с Исполнителем осуществляется как по телефону, так и по электронной почте.</w:t>
      </w:r>
    </w:p>
    <w:p w:rsidR="00A004A6" w:rsidRDefault="00A004A6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lastRenderedPageBreak/>
        <w:t>Исполнитель должен обеспечить выполнение: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при возникновении аппаратных сбоев Оборудования, в комплектации   указанной в таблице №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 xml:space="preserve">Консультации по функциональным возможностям линейки Оборудования.  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вопросам конфигурирования, эксплуатации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установке обновлений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upgrade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), версий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update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), и исправлений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patches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 аппаратных и программных продуктов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 xml:space="preserve">Консультации по проведению превентивных мер для недопущения аварийных ситуаций Оборудования.  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предварительной диагностике и локализации возникающих неисправностей на оборудовании и программном обеспечении.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вопросам расширения и модернизации Оборудования.</w:t>
      </w:r>
    </w:p>
    <w:p w:rsidR="006B7F69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Другие технические вопросы, связанные с функционированием Оборудования и встроенного в него программного обеспечения.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должны проводиться до окончательного закрытия запроса, поднятого сотрудниками Заказчика. При невозможности решить проблему с помощью консультации специалист Исполнителя, проводивший консультации, должен передать запрос (заявку) на следующий уровень технической поддержки и контролировать дальнейшее выполнение данного запроса (заявки).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Документирование</w:t>
      </w:r>
      <w:r>
        <w:rPr>
          <w:rFonts w:ascii="Times New Roman" w:hAnsi="Times New Roman" w:cs="Times New Roman"/>
          <w:sz w:val="24"/>
          <w:szCs w:val="24"/>
        </w:rPr>
        <w:t xml:space="preserve"> сервисных заявок, дефектных актов, актов замены Оборудования и компонентов</w:t>
      </w:r>
      <w:r w:rsidRPr="00EB18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426"/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Восстановление работоспособности Оборудования и компонентов.</w:t>
      </w:r>
    </w:p>
    <w:p w:rsidR="006B7F69" w:rsidRDefault="006B7F69" w:rsidP="0008583B">
      <w:pPr>
        <w:pStyle w:val="a4"/>
        <w:numPr>
          <w:ilvl w:val="0"/>
          <w:numId w:val="11"/>
        </w:numPr>
        <w:tabs>
          <w:tab w:val="left" w:pos="426"/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Регламентные и профилактические работы</w:t>
      </w:r>
      <w:r>
        <w:rPr>
          <w:rFonts w:ascii="Times New Roman" w:hAnsi="Times New Roman" w:cs="Times New Roman"/>
          <w:sz w:val="24"/>
          <w:szCs w:val="24"/>
        </w:rPr>
        <w:t xml:space="preserve"> на оборудовании.</w:t>
      </w:r>
    </w:p>
    <w:p w:rsidR="006B7F69" w:rsidRPr="00680FD4" w:rsidRDefault="006B7F69" w:rsidP="0008583B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Регламентные и профилактические работы проводятся на основании утвержденного документа, описывающего объем и содержание регламентных и профилактических работ, а также графика выполнения работ с периодичность их выполнения и требований к порядку выполнения профилактических работ.</w:t>
      </w:r>
    </w:p>
    <w:p w:rsidR="006B7F69" w:rsidRPr="00A92429" w:rsidRDefault="006B7F69" w:rsidP="0008583B">
      <w:pPr>
        <w:pStyle w:val="a4"/>
        <w:spacing w:after="10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 xml:space="preserve"> </w:t>
      </w:r>
      <w:r w:rsidRPr="00A92429">
        <w:rPr>
          <w:rFonts w:ascii="Times New Roman" w:hAnsi="Times New Roman" w:cs="Times New Roman"/>
          <w:sz w:val="24"/>
          <w:szCs w:val="24"/>
        </w:rPr>
        <w:t>Заявка на поддержку</w:t>
      </w:r>
      <w:r>
        <w:rPr>
          <w:rFonts w:ascii="Times New Roman" w:hAnsi="Times New Roman" w:cs="Times New Roman"/>
          <w:sz w:val="24"/>
          <w:szCs w:val="24"/>
        </w:rPr>
        <w:t xml:space="preserve"> (сервисная заявка)</w:t>
      </w:r>
      <w:r w:rsidRPr="00A92429">
        <w:rPr>
          <w:rFonts w:ascii="Times New Roman" w:hAnsi="Times New Roman" w:cs="Times New Roman"/>
          <w:sz w:val="24"/>
          <w:szCs w:val="24"/>
        </w:rPr>
        <w:t xml:space="preserve"> определяется согласно след</w:t>
      </w:r>
      <w:r>
        <w:rPr>
          <w:rFonts w:ascii="Times New Roman" w:hAnsi="Times New Roman" w:cs="Times New Roman"/>
          <w:sz w:val="24"/>
          <w:szCs w:val="24"/>
        </w:rPr>
        <w:t>ующих</w:t>
      </w:r>
      <w:r w:rsidRPr="00A92429">
        <w:rPr>
          <w:rFonts w:ascii="Times New Roman" w:hAnsi="Times New Roman" w:cs="Times New Roman"/>
          <w:sz w:val="24"/>
          <w:szCs w:val="24"/>
        </w:rPr>
        <w:t xml:space="preserve"> Уровней:</w:t>
      </w:r>
    </w:p>
    <w:p w:rsidR="000F0F32" w:rsidRDefault="000F0F32" w:rsidP="0008583B">
      <w:pPr>
        <w:pStyle w:val="a4"/>
        <w:spacing w:after="100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6B7F69" w:rsidRPr="00A92429" w:rsidRDefault="006B7F69" w:rsidP="0008583B">
      <w:pPr>
        <w:pStyle w:val="a4"/>
        <w:spacing w:after="10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649"/>
        <w:gridCol w:w="8127"/>
      </w:tblGrid>
      <w:tr w:rsidR="006B7F69" w:rsidRPr="00A92429" w:rsidTr="00A62675">
        <w:trPr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jc w:val="center"/>
              <w:rPr>
                <w:b/>
                <w:sz w:val="24"/>
                <w:szCs w:val="24"/>
              </w:rPr>
            </w:pPr>
            <w:r w:rsidRPr="00A92429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8127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jc w:val="center"/>
              <w:rPr>
                <w:b/>
                <w:sz w:val="24"/>
                <w:szCs w:val="24"/>
              </w:rPr>
            </w:pPr>
            <w:r w:rsidRPr="00A92429">
              <w:rPr>
                <w:b/>
                <w:sz w:val="24"/>
                <w:szCs w:val="24"/>
              </w:rPr>
              <w:t>Требование</w:t>
            </w:r>
          </w:p>
        </w:tc>
      </w:tr>
      <w:tr w:rsidR="006B7F69" w:rsidRPr="00A92429" w:rsidTr="00A62675">
        <w:trPr>
          <w:trHeight w:val="1125"/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  <w:highlight w:val="yellow"/>
              </w:rPr>
            </w:pPr>
            <w:r w:rsidRPr="00A92429">
              <w:rPr>
                <w:sz w:val="24"/>
                <w:szCs w:val="24"/>
              </w:rPr>
              <w:t>Важность№1</w:t>
            </w:r>
          </w:p>
        </w:tc>
        <w:tc>
          <w:tcPr>
            <w:tcW w:w="8127" w:type="dxa"/>
          </w:tcPr>
          <w:p w:rsidR="006B7F69" w:rsidRPr="00A92429" w:rsidRDefault="006B7F69" w:rsidP="0008583B">
            <w:pPr>
              <w:pStyle w:val="a4"/>
              <w:numPr>
                <w:ilvl w:val="0"/>
                <w:numId w:val="6"/>
              </w:numPr>
              <w:spacing w:after="100" w:line="259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диагностики – 2 часа.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6"/>
              </w:numPr>
              <w:spacing w:after="100" w:line="259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Заведение кейса на портале и заказ комплектующих у производителя </w:t>
            </w:r>
            <w:r>
              <w:rPr>
                <w:sz w:val="24"/>
                <w:szCs w:val="24"/>
              </w:rPr>
              <w:t xml:space="preserve">–  </w:t>
            </w:r>
            <w:r w:rsidRPr="00A92429">
              <w:rPr>
                <w:sz w:val="24"/>
                <w:szCs w:val="24"/>
              </w:rPr>
              <w:t>в течении 2 часов после проведения диагностики.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6"/>
              </w:numPr>
              <w:spacing w:after="100" w:line="259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Доставка и замена</w:t>
            </w:r>
            <w:r>
              <w:rPr>
                <w:sz w:val="24"/>
                <w:szCs w:val="24"/>
              </w:rPr>
              <w:t xml:space="preserve"> комплектующих – 7 календарных дней</w:t>
            </w:r>
            <w:r w:rsidRPr="00A92429">
              <w:rPr>
                <w:sz w:val="24"/>
                <w:szCs w:val="24"/>
              </w:rPr>
              <w:t>.</w:t>
            </w:r>
          </w:p>
        </w:tc>
      </w:tr>
      <w:tr w:rsidR="006B7F69" w:rsidRPr="00A92429" w:rsidTr="00A62675">
        <w:trPr>
          <w:trHeight w:val="881"/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  <w:highlight w:val="yellow"/>
              </w:rPr>
            </w:pPr>
            <w:r w:rsidRPr="00A92429">
              <w:rPr>
                <w:sz w:val="24"/>
                <w:szCs w:val="24"/>
              </w:rPr>
              <w:t>Важность№2</w:t>
            </w:r>
          </w:p>
        </w:tc>
        <w:tc>
          <w:tcPr>
            <w:tcW w:w="8127" w:type="dxa"/>
          </w:tcPr>
          <w:p w:rsidR="006B7F69" w:rsidRPr="00A92429" w:rsidRDefault="006B7F69" w:rsidP="0008583B">
            <w:pPr>
              <w:pStyle w:val="a4"/>
              <w:numPr>
                <w:ilvl w:val="0"/>
                <w:numId w:val="7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диагностики – 1 день.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7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Заведение кейса на портале </w:t>
            </w:r>
            <w:bookmarkStart w:id="10" w:name="_GoBack"/>
            <w:r w:rsidRPr="00A92429">
              <w:rPr>
                <w:sz w:val="24"/>
                <w:szCs w:val="24"/>
              </w:rPr>
              <w:t>и зака</w:t>
            </w:r>
            <w:r>
              <w:rPr>
                <w:sz w:val="24"/>
                <w:szCs w:val="24"/>
              </w:rPr>
              <w:t xml:space="preserve">з комплектующих у производителя </w:t>
            </w:r>
            <w:bookmarkEnd w:id="10"/>
            <w:r>
              <w:rPr>
                <w:sz w:val="24"/>
                <w:szCs w:val="24"/>
              </w:rPr>
              <w:t xml:space="preserve">– </w:t>
            </w:r>
            <w:r w:rsidRPr="00A92429">
              <w:rPr>
                <w:sz w:val="24"/>
                <w:szCs w:val="24"/>
              </w:rPr>
              <w:t>в течении 8 часов после проведения диагностики.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7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Доставка и замена комплектующих </w:t>
            </w:r>
            <w:r>
              <w:rPr>
                <w:sz w:val="24"/>
                <w:szCs w:val="24"/>
              </w:rPr>
              <w:t>– 15</w:t>
            </w:r>
            <w:r w:rsidRPr="00A92429">
              <w:rPr>
                <w:sz w:val="24"/>
                <w:szCs w:val="24"/>
              </w:rPr>
              <w:t xml:space="preserve"> календарных дней.</w:t>
            </w:r>
          </w:p>
        </w:tc>
      </w:tr>
      <w:tr w:rsidR="006B7F69" w:rsidRPr="00A92429" w:rsidTr="00A62675">
        <w:trPr>
          <w:trHeight w:val="1038"/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Важность№3</w:t>
            </w:r>
          </w:p>
        </w:tc>
        <w:tc>
          <w:tcPr>
            <w:tcW w:w="8127" w:type="dxa"/>
          </w:tcPr>
          <w:p w:rsidR="006B7F69" w:rsidRPr="00A92429" w:rsidRDefault="006B7F69" w:rsidP="0008583B">
            <w:pPr>
              <w:pStyle w:val="a4"/>
              <w:numPr>
                <w:ilvl w:val="0"/>
                <w:numId w:val="8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диагностики – 2дня.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8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Заведение кейса на портале и заказ комплектующих у производителя в течении рабочего дня после проведения диагностики.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8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Доставка и замена</w:t>
            </w:r>
            <w:r>
              <w:rPr>
                <w:sz w:val="24"/>
                <w:szCs w:val="24"/>
              </w:rPr>
              <w:t xml:space="preserve"> комплектующих – 40</w:t>
            </w:r>
            <w:r w:rsidRPr="00A92429">
              <w:rPr>
                <w:sz w:val="24"/>
                <w:szCs w:val="24"/>
              </w:rPr>
              <w:t xml:space="preserve"> календарных дней.</w:t>
            </w:r>
          </w:p>
        </w:tc>
      </w:tr>
      <w:tr w:rsidR="006B7F69" w:rsidRPr="00A92429" w:rsidTr="00A62675">
        <w:trPr>
          <w:trHeight w:val="1038"/>
          <w:jc w:val="center"/>
        </w:trPr>
        <w:tc>
          <w:tcPr>
            <w:tcW w:w="9776" w:type="dxa"/>
            <w:gridSpan w:val="2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lastRenderedPageBreak/>
              <w:t>Прочие требование: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9"/>
              </w:num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Проведение работ по замене комплектующих. Подготовка отчета о </w:t>
            </w:r>
            <w:proofErr w:type="spellStart"/>
            <w:r w:rsidRPr="00A92429">
              <w:rPr>
                <w:sz w:val="24"/>
                <w:szCs w:val="24"/>
              </w:rPr>
              <w:t>проведенных</w:t>
            </w:r>
            <w:proofErr w:type="spellEnd"/>
            <w:r w:rsidRPr="00A92429">
              <w:rPr>
                <w:sz w:val="24"/>
                <w:szCs w:val="24"/>
              </w:rPr>
              <w:t xml:space="preserve"> работах, актах </w:t>
            </w:r>
            <w:proofErr w:type="spellStart"/>
            <w:r w:rsidRPr="00A92429">
              <w:rPr>
                <w:sz w:val="24"/>
                <w:szCs w:val="24"/>
              </w:rPr>
              <w:t>дефектации</w:t>
            </w:r>
            <w:proofErr w:type="spellEnd"/>
            <w:r w:rsidRPr="00A92429">
              <w:rPr>
                <w:sz w:val="24"/>
                <w:szCs w:val="24"/>
              </w:rPr>
              <w:t xml:space="preserve"> – 1 рабочий день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9"/>
              </w:num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Предоставление ответов</w:t>
            </w:r>
            <w:r>
              <w:rPr>
                <w:sz w:val="24"/>
                <w:szCs w:val="24"/>
              </w:rPr>
              <w:t xml:space="preserve"> –</w:t>
            </w:r>
            <w:r w:rsidRPr="00A92429">
              <w:rPr>
                <w:sz w:val="24"/>
                <w:szCs w:val="24"/>
              </w:rPr>
              <w:t xml:space="preserve"> в течении 4 рабочих </w:t>
            </w:r>
            <w:r>
              <w:rPr>
                <w:sz w:val="24"/>
                <w:szCs w:val="24"/>
              </w:rPr>
              <w:t>дней, на</w:t>
            </w:r>
            <w:r w:rsidRPr="00A92429">
              <w:rPr>
                <w:sz w:val="24"/>
                <w:szCs w:val="24"/>
              </w:rPr>
              <w:t xml:space="preserve"> запрос за консультацией.</w:t>
            </w:r>
          </w:p>
        </w:tc>
      </w:tr>
    </w:tbl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Уровни важности инцидента определяются следующим образом:</w:t>
      </w:r>
    </w:p>
    <w:p w:rsidR="006B7F69" w:rsidRPr="00680FD4" w:rsidRDefault="006B7F69" w:rsidP="0008583B">
      <w:pPr>
        <w:pStyle w:val="a4"/>
        <w:numPr>
          <w:ilvl w:val="0"/>
          <w:numId w:val="10"/>
        </w:numPr>
        <w:tabs>
          <w:tab w:val="left" w:pos="993"/>
        </w:tabs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>критическое или серьезное влияние на бизнес: например, ух</w:t>
      </w:r>
      <w:r>
        <w:rPr>
          <w:rFonts w:ascii="Times New Roman" w:hAnsi="Times New Roman" w:cs="Times New Roman"/>
          <w:sz w:val="24"/>
          <w:szCs w:val="24"/>
        </w:rPr>
        <w:t xml:space="preserve">удшение производственной среды, </w:t>
      </w:r>
      <w:r w:rsidRPr="00680FD4">
        <w:rPr>
          <w:rFonts w:ascii="Times New Roman" w:hAnsi="Times New Roman" w:cs="Times New Roman"/>
          <w:sz w:val="24"/>
          <w:szCs w:val="24"/>
        </w:rPr>
        <w:t>отказ производственной системы или производственно</w:t>
      </w:r>
      <w:r>
        <w:rPr>
          <w:rFonts w:ascii="Times New Roman" w:hAnsi="Times New Roman" w:cs="Times New Roman"/>
          <w:sz w:val="24"/>
          <w:szCs w:val="24"/>
        </w:rPr>
        <w:t>го приложения / серьезный риск, повреждение/</w:t>
      </w:r>
      <w:r w:rsidRPr="00680FD4">
        <w:rPr>
          <w:rFonts w:ascii="Times New Roman" w:hAnsi="Times New Roman" w:cs="Times New Roman"/>
          <w:sz w:val="24"/>
          <w:szCs w:val="24"/>
        </w:rPr>
        <w:t>потеря данных и</w:t>
      </w:r>
      <w:r>
        <w:rPr>
          <w:rFonts w:ascii="Times New Roman" w:hAnsi="Times New Roman" w:cs="Times New Roman"/>
          <w:sz w:val="24"/>
          <w:szCs w:val="24"/>
        </w:rPr>
        <w:t>ли риск снижения уровня</w:t>
      </w:r>
      <w:r w:rsidRPr="00680FD4">
        <w:rPr>
          <w:rFonts w:ascii="Times New Roman" w:hAnsi="Times New Roman" w:cs="Times New Roman"/>
          <w:sz w:val="24"/>
          <w:szCs w:val="24"/>
        </w:rPr>
        <w:t xml:space="preserve"> безопасности;</w:t>
      </w:r>
    </w:p>
    <w:p w:rsidR="006B7F69" w:rsidRPr="00680FD4" w:rsidRDefault="006B7F69" w:rsidP="0008583B">
      <w:pPr>
        <w:pStyle w:val="a4"/>
        <w:numPr>
          <w:ilvl w:val="0"/>
          <w:numId w:val="10"/>
        </w:numPr>
        <w:tabs>
          <w:tab w:val="left" w:pos="993"/>
        </w:tabs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>ограниченное влияние на бизнес или бизнес-риск: например, критическая непроизводственна</w:t>
      </w:r>
      <w:r>
        <w:rPr>
          <w:rFonts w:ascii="Times New Roman" w:hAnsi="Times New Roman" w:cs="Times New Roman"/>
          <w:sz w:val="24"/>
          <w:szCs w:val="24"/>
        </w:rPr>
        <w:t xml:space="preserve">я среда или системная проблема, </w:t>
      </w:r>
      <w:r w:rsidRPr="00680FD4">
        <w:rPr>
          <w:rFonts w:ascii="Times New Roman" w:hAnsi="Times New Roman" w:cs="Times New Roman"/>
          <w:sz w:val="24"/>
          <w:szCs w:val="24"/>
        </w:rPr>
        <w:t>производственная среда доступна, но некоторые ф</w:t>
      </w:r>
      <w:r>
        <w:rPr>
          <w:rFonts w:ascii="Times New Roman" w:hAnsi="Times New Roman" w:cs="Times New Roman"/>
          <w:sz w:val="24"/>
          <w:szCs w:val="24"/>
        </w:rPr>
        <w:t xml:space="preserve">ункции ограничены или ухудшены, </w:t>
      </w:r>
      <w:r w:rsidRPr="00680FD4">
        <w:rPr>
          <w:rFonts w:ascii="Times New Roman" w:hAnsi="Times New Roman" w:cs="Times New Roman"/>
          <w:sz w:val="24"/>
          <w:szCs w:val="24"/>
        </w:rPr>
        <w:t>строго ограниченное использование;</w:t>
      </w:r>
    </w:p>
    <w:p w:rsidR="006B7F69" w:rsidRPr="00680FD4" w:rsidRDefault="006B7F69" w:rsidP="0008583B">
      <w:pPr>
        <w:pStyle w:val="a4"/>
        <w:numPr>
          <w:ilvl w:val="0"/>
          <w:numId w:val="10"/>
        </w:numPr>
        <w:tabs>
          <w:tab w:val="left" w:pos="993"/>
        </w:tabs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>не влияет на бизнес: например, непроизводственная система (например, тестовая систе</w:t>
      </w:r>
      <w:r>
        <w:rPr>
          <w:rFonts w:ascii="Times New Roman" w:hAnsi="Times New Roman" w:cs="Times New Roman"/>
          <w:sz w:val="24"/>
          <w:szCs w:val="24"/>
        </w:rPr>
        <w:t>ма) или некритическая проблема, которую возможно обойти на месте, установки, прочие</w:t>
      </w:r>
      <w:r w:rsidRPr="00680FD4">
        <w:rPr>
          <w:rFonts w:ascii="Times New Roman" w:hAnsi="Times New Roman" w:cs="Times New Roman"/>
          <w:sz w:val="24"/>
          <w:szCs w:val="24"/>
        </w:rPr>
        <w:t xml:space="preserve"> консультационные вопросы.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Исполнитель обязан оказывать услуги по технической под</w:t>
      </w:r>
      <w:r>
        <w:rPr>
          <w:rFonts w:ascii="Times New Roman" w:hAnsi="Times New Roman" w:cs="Times New Roman"/>
          <w:sz w:val="24"/>
          <w:szCs w:val="24"/>
        </w:rPr>
        <w:t>держке</w:t>
      </w:r>
      <w:r w:rsidRPr="00A92429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борудования,</w:t>
      </w:r>
      <w:r w:rsidRPr="00A92429">
        <w:rPr>
          <w:rFonts w:ascii="Times New Roman" w:hAnsi="Times New Roman" w:cs="Times New Roman"/>
          <w:sz w:val="24"/>
          <w:szCs w:val="24"/>
        </w:rPr>
        <w:t xml:space="preserve"> в соответствии с категориями критичности проблем (приоритетами), принятыми у Заказчика.</w:t>
      </w:r>
    </w:p>
    <w:p w:rsidR="006B7F6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При обращении в Техническую поддержку Исполнителя специалисты Заказчика сами определяют Уровень критичности запроса на обслуживание, который может быть понижен в случае предоставления обходного решения. Услуга оказывается до момента устранения проблемы или до момента, когда Заказчик решит, что необходимость в консультативной помощи исчерпана.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обеспечивает Заказчика всей информацией и документацией, необходимой для оказания Услуг. 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должен зарегистрировать в системе службы технической поддержки программное обеспечение и оборудование Заказчика, относящиеся к данному ТЗ, в существующей учетной записи Заказчика.  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оказать Услуги в полном объеме, качественно и в сроки. Замена комплектующих частей оборудования осуществляется в порядке, согласно выше указанной таблице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69" w:rsidRPr="00A92429" w:rsidRDefault="00E921F8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F69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оказания Услуг Исполнитель должен предоставить Заказчику надлежаще оформленные</w:t>
      </w:r>
      <w:r w:rsidR="006B7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</w:t>
      </w:r>
      <w:r w:rsidR="006B7F69"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акт сдачи-приемки оказанных Услуг, счет-фактуру. Услуги считаются оказанными после подписания обеими сторонами актов сдачи-приемки оказанных Услуг. 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Услуг должно соответствовать требованиям, предъявляемым к ним Заказчиком, а также оно должно соответствовать качеству, обычно предъявляемому к Услугам такого рода. 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должны быть оказаны квалифицированными специалистами.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некачественного оказания Услуг, Исполнитель за свой счет обязан исправить выявленные нарушения в согласованные с Заказчиком сроки.  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Каждая Сторона гарантирует наличие у нее всех лицензионных и иных разрешительных документов, требуемых для выполнения ей обязательств в соответствии с применимым законодательством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6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технической поддерж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долж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уполномоченное лицо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соответствующей 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кацией,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знанием английского и русского языков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(супервизор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/менеджер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будет служить основным контактным лицом с Исполнителем услуг и лично осуществлять персональный контроль всех оказываемых услуг, проводимых в рамках заявленного Заказчиком перечня услуг.  </w:t>
      </w:r>
    </w:p>
    <w:p w:rsidR="006B7F6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предоставляет персоналу Исполнителя круглосуточный физический и удаленный доступ к Оборудованию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действия сервисного контракта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удаленного подключения Исполнителя к оборудованию дополнительно оговариваются с представителем Заказчика.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8583B" w:rsidRDefault="0008583B" w:rsidP="0008583B">
      <w:pPr>
        <w:spacing w:after="100"/>
        <w:ind w:firstLine="56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69904329"/>
      <w:r>
        <w:rPr>
          <w:rFonts w:ascii="Times New Roman" w:hAnsi="Times New Roman" w:cs="Times New Roman"/>
          <w:sz w:val="24"/>
          <w:szCs w:val="24"/>
        </w:rPr>
        <w:t>Область применения</w:t>
      </w:r>
      <w:bookmarkEnd w:id="11"/>
    </w:p>
    <w:p w:rsidR="0094244D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использования </w:t>
      </w:r>
      <w:r w:rsidR="006B7F69" w:rsidRPr="006B7F69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7F69" w:rsidRPr="006B7F69">
        <w:rPr>
          <w:rFonts w:ascii="Times New Roman" w:hAnsi="Times New Roman" w:cs="Times New Roman"/>
          <w:sz w:val="24"/>
          <w:szCs w:val="24"/>
        </w:rPr>
        <w:t xml:space="preserve">локально, по фактическому адресу Заказчика, а именно: Республика Узбекистан, </w:t>
      </w:r>
      <w:proofErr w:type="spellStart"/>
      <w:r w:rsidR="006B7F69" w:rsidRPr="006B7F69">
        <w:rPr>
          <w:rFonts w:ascii="Times New Roman" w:hAnsi="Times New Roman" w:cs="Times New Roman"/>
          <w:sz w:val="24"/>
          <w:szCs w:val="24"/>
        </w:rPr>
        <w:t>Юнусабадский</w:t>
      </w:r>
      <w:proofErr w:type="spellEnd"/>
      <w:r w:rsidR="006B7F69" w:rsidRPr="006B7F6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7F69" w:rsidRPr="006B7F69">
        <w:rPr>
          <w:rFonts w:ascii="Times New Roman" w:hAnsi="Times New Roman" w:cs="Times New Roman"/>
          <w:sz w:val="24"/>
          <w:szCs w:val="24"/>
        </w:rPr>
        <w:t>г.Ташкент</w:t>
      </w:r>
      <w:proofErr w:type="spellEnd"/>
      <w:r w:rsidR="006B7F69" w:rsidRPr="006B7F69">
        <w:rPr>
          <w:rFonts w:ascii="Times New Roman" w:hAnsi="Times New Roman" w:cs="Times New Roman"/>
          <w:sz w:val="24"/>
          <w:szCs w:val="24"/>
        </w:rPr>
        <w:t xml:space="preserve">, пр. Амира </w:t>
      </w:r>
      <w:proofErr w:type="spellStart"/>
      <w:r w:rsidR="006B7F69" w:rsidRPr="006B7F69">
        <w:rPr>
          <w:rFonts w:ascii="Times New Roman" w:hAnsi="Times New Roman" w:cs="Times New Roman"/>
          <w:sz w:val="24"/>
          <w:szCs w:val="24"/>
        </w:rPr>
        <w:t>Темура</w:t>
      </w:r>
      <w:proofErr w:type="spellEnd"/>
      <w:r w:rsidR="006B7F69" w:rsidRPr="006B7F69">
        <w:rPr>
          <w:rFonts w:ascii="Times New Roman" w:hAnsi="Times New Roman" w:cs="Times New Roman"/>
          <w:sz w:val="24"/>
          <w:szCs w:val="24"/>
        </w:rPr>
        <w:t>, 24, (Центральный офис, ООО «UMS»)</w:t>
      </w:r>
      <w:r w:rsidRPr="000A2EEE">
        <w:rPr>
          <w:rFonts w:ascii="Times New Roman" w:hAnsi="Times New Roman" w:cs="Times New Roman"/>
          <w:sz w:val="24"/>
          <w:szCs w:val="24"/>
        </w:rPr>
        <w:t xml:space="preserve"> </w:t>
      </w:r>
      <w:r w:rsidR="006B7F69" w:rsidRPr="006B7F69">
        <w:rPr>
          <w:rFonts w:ascii="Times New Roman" w:hAnsi="Times New Roman" w:cs="Times New Roman"/>
          <w:sz w:val="24"/>
          <w:szCs w:val="24"/>
        </w:rPr>
        <w:t>и удаленно</w:t>
      </w:r>
      <w:r w:rsidR="00933989">
        <w:rPr>
          <w:rFonts w:ascii="Times New Roman" w:hAnsi="Times New Roman" w:cs="Times New Roman"/>
          <w:sz w:val="24"/>
          <w:szCs w:val="24"/>
        </w:rPr>
        <w:t>. П</w:t>
      </w:r>
      <w:r w:rsidR="006B7F69" w:rsidRPr="006B7F69">
        <w:rPr>
          <w:rFonts w:ascii="Times New Roman" w:hAnsi="Times New Roman" w:cs="Times New Roman"/>
          <w:sz w:val="24"/>
          <w:szCs w:val="24"/>
        </w:rPr>
        <w:t xml:space="preserve">ри этом используются стандартные каналы связи с возможностью шифрования данных, в соответствии с согласованными регламентами проведения подобных работ между Заказчиком и Исполнителем.  </w:t>
      </w:r>
    </w:p>
    <w:p w:rsidR="0008583B" w:rsidRPr="006B7F69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69904330"/>
      <w:r>
        <w:rPr>
          <w:rFonts w:ascii="Times New Roman" w:hAnsi="Times New Roman" w:cs="Times New Roman"/>
          <w:sz w:val="24"/>
          <w:szCs w:val="24"/>
        </w:rPr>
        <w:t>Общие требования к участнику</w:t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Стратегия </w:t>
      </w:r>
      <w:r w:rsidR="008A6FAB">
        <w:rPr>
          <w:rFonts w:ascii="Times New Roman" w:hAnsi="Times New Roman" w:cs="Times New Roman"/>
          <w:sz w:val="24"/>
          <w:szCs w:val="24"/>
        </w:rPr>
        <w:t xml:space="preserve">технической поддержки, в рамках сервисного контракта, основывается </w:t>
      </w:r>
      <w:r w:rsidR="00A004A6">
        <w:rPr>
          <w:rFonts w:ascii="Times New Roman" w:hAnsi="Times New Roman" w:cs="Times New Roman"/>
          <w:sz w:val="24"/>
          <w:szCs w:val="24"/>
        </w:rPr>
        <w:t xml:space="preserve">на </w:t>
      </w:r>
      <w:r w:rsidR="00A004A6" w:rsidRPr="000A2EEE">
        <w:rPr>
          <w:rFonts w:ascii="Times New Roman" w:hAnsi="Times New Roman" w:cs="Times New Roman"/>
          <w:sz w:val="24"/>
          <w:szCs w:val="24"/>
        </w:rPr>
        <w:t>том</w:t>
      </w:r>
      <w:r w:rsidRPr="000A2EEE">
        <w:rPr>
          <w:rFonts w:ascii="Times New Roman" w:hAnsi="Times New Roman" w:cs="Times New Roman"/>
          <w:sz w:val="24"/>
          <w:szCs w:val="24"/>
        </w:rPr>
        <w:t>, что единственным способом достижения высокого качества услуг являются непрерывные, совместные с Исполнителем, целенаправленные действия по обеспечению отказоустойчивой работы Оборудования.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Исполнителем услуг технической поддержки может выступать участник с наличием партнерского статуса, дилерским соглашением или иным документом, дающим право на представление технической поддержки для Оборудования, в соответствии с установленными Производителем Оборудования стандартами. 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Обязательное наличие на складе Исполнителя необходимого количества запасных частей для оперативного восстановления работоспособности Оборудования Заказчика.  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Исполнитель должен иметь Авторизованную Компанией Производителем Службу Технической Поддержки, занимающуюся сервисными запросами Заказчика. Заказчику должна быть предоставлена возможность адресовать вопросы в техническую поддержку Исполнителя.    </w:t>
      </w:r>
    </w:p>
    <w:p w:rsidR="0094244D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Исполнитель должен иметь подтвержденный рекомендательными письмами опыт работы по предоставлению обозначенных услуг, иметь в своем штате не менее двух сертифицированных специалистов по оказанию заявленных услуг.  </w:t>
      </w:r>
    </w:p>
    <w:p w:rsidR="008457BF" w:rsidRDefault="008457BF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должен предоставить контакты сервисного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Центра, </w:t>
      </w:r>
      <w:r w:rsidRPr="002B7A4E">
        <w:rPr>
          <w:rFonts w:ascii="Times New Roman" w:hAnsi="Times New Roman" w:cs="Times New Roman"/>
          <w:sz w:val="24"/>
          <w:szCs w:val="24"/>
        </w:rPr>
        <w:t xml:space="preserve"> расположенного</w:t>
      </w:r>
      <w:proofErr w:type="gramEnd"/>
      <w:r w:rsidRPr="002B7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Ташкенте.</w:t>
      </w:r>
    </w:p>
    <w:p w:rsidR="00DC2237" w:rsidRPr="000A2EEE" w:rsidRDefault="00DC2237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08583B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69904331"/>
      <w:r>
        <w:rPr>
          <w:rFonts w:ascii="Times New Roman" w:hAnsi="Times New Roman" w:cs="Times New Roman"/>
          <w:sz w:val="24"/>
          <w:szCs w:val="24"/>
        </w:rPr>
        <w:lastRenderedPageBreak/>
        <w:t>Сроки оказания У</w:t>
      </w:r>
      <w:r w:rsidR="008710D9">
        <w:rPr>
          <w:rFonts w:ascii="Times New Roman" w:hAnsi="Times New Roman" w:cs="Times New Roman"/>
          <w:sz w:val="24"/>
          <w:szCs w:val="24"/>
        </w:rPr>
        <w:t>слуг</w:t>
      </w:r>
      <w:bookmarkEnd w:id="13"/>
    </w:p>
    <w:p w:rsidR="000A2EEE" w:rsidRPr="008A6FAB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Требуемый срок предоставления технической поддержки Оборудования – 12 (двенадцать) месяцев, со срока окончания технической поддержки, зафиксированной в существующей у Производителя учетной записи Заказчика, </w:t>
      </w:r>
      <w:r w:rsidR="00726347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F19A0">
        <w:rPr>
          <w:rFonts w:ascii="Times New Roman" w:hAnsi="Times New Roman" w:cs="Times New Roman"/>
          <w:b/>
          <w:sz w:val="24"/>
          <w:szCs w:val="24"/>
        </w:rPr>
        <w:t>01</w:t>
      </w:r>
      <w:r w:rsidR="00726347">
        <w:rPr>
          <w:rFonts w:ascii="Times New Roman" w:hAnsi="Times New Roman" w:cs="Times New Roman"/>
          <w:b/>
          <w:sz w:val="24"/>
          <w:szCs w:val="24"/>
        </w:rPr>
        <w:t>.01</w:t>
      </w:r>
      <w:r w:rsidR="00A004A6">
        <w:rPr>
          <w:rFonts w:ascii="Times New Roman" w:hAnsi="Times New Roman" w:cs="Times New Roman"/>
          <w:b/>
          <w:sz w:val="24"/>
          <w:szCs w:val="24"/>
        </w:rPr>
        <w:t>.202</w:t>
      </w:r>
      <w:r w:rsidR="00743D24">
        <w:rPr>
          <w:rFonts w:ascii="Times New Roman" w:hAnsi="Times New Roman" w:cs="Times New Roman"/>
          <w:b/>
          <w:sz w:val="24"/>
          <w:szCs w:val="24"/>
        </w:rPr>
        <w:t>5</w:t>
      </w:r>
      <w:r w:rsidR="003856C6">
        <w:rPr>
          <w:rFonts w:ascii="Times New Roman" w:hAnsi="Times New Roman" w:cs="Times New Roman"/>
          <w:b/>
          <w:sz w:val="24"/>
          <w:szCs w:val="24"/>
        </w:rPr>
        <w:t xml:space="preserve"> г.  – </w:t>
      </w:r>
      <w:r w:rsidR="003F19A0">
        <w:rPr>
          <w:rFonts w:ascii="Times New Roman" w:hAnsi="Times New Roman" w:cs="Times New Roman"/>
          <w:b/>
          <w:sz w:val="24"/>
          <w:szCs w:val="24"/>
        </w:rPr>
        <w:t>31</w:t>
      </w:r>
      <w:r w:rsidR="00726347">
        <w:rPr>
          <w:rFonts w:ascii="Times New Roman" w:hAnsi="Times New Roman" w:cs="Times New Roman"/>
          <w:b/>
          <w:sz w:val="24"/>
          <w:szCs w:val="24"/>
        </w:rPr>
        <w:t>.</w:t>
      </w:r>
      <w:r w:rsidR="003F19A0">
        <w:rPr>
          <w:rFonts w:ascii="Times New Roman" w:hAnsi="Times New Roman" w:cs="Times New Roman"/>
          <w:b/>
          <w:sz w:val="24"/>
          <w:szCs w:val="24"/>
        </w:rPr>
        <w:t>12</w:t>
      </w:r>
      <w:r w:rsidR="00AC20FE">
        <w:rPr>
          <w:rFonts w:ascii="Times New Roman" w:hAnsi="Times New Roman" w:cs="Times New Roman"/>
          <w:b/>
          <w:sz w:val="24"/>
          <w:szCs w:val="24"/>
        </w:rPr>
        <w:t>.202</w:t>
      </w:r>
      <w:r w:rsidR="003F19A0">
        <w:rPr>
          <w:rFonts w:ascii="Times New Roman" w:hAnsi="Times New Roman" w:cs="Times New Roman"/>
          <w:b/>
          <w:sz w:val="24"/>
          <w:szCs w:val="24"/>
        </w:rPr>
        <w:t>5</w:t>
      </w:r>
      <w:r w:rsidRPr="008A6FA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004A6" w:rsidRDefault="00AC20FE" w:rsidP="000F0F32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Список оборудования</w:t>
      </w:r>
      <w:r w:rsidR="000A2EEE" w:rsidRPr="008A6FAB">
        <w:rPr>
          <w:rFonts w:ascii="Times New Roman" w:hAnsi="Times New Roman" w:cs="Times New Roman"/>
          <w:sz w:val="24"/>
          <w:szCs w:val="24"/>
        </w:rPr>
        <w:t>, установленного на объектах ООО «</w:t>
      </w:r>
      <w:r w:rsidR="000A2EEE" w:rsidRPr="008A6FAB">
        <w:rPr>
          <w:rFonts w:ascii="Times New Roman" w:hAnsi="Times New Roman" w:cs="Times New Roman"/>
          <w:sz w:val="24"/>
          <w:szCs w:val="24"/>
          <w:lang w:val="en-US"/>
        </w:rPr>
        <w:t>UMS</w:t>
      </w:r>
      <w:r w:rsidR="000A2EEE" w:rsidRPr="008A6FAB">
        <w:rPr>
          <w:rFonts w:ascii="Times New Roman" w:hAnsi="Times New Roman" w:cs="Times New Roman"/>
          <w:sz w:val="24"/>
          <w:szCs w:val="24"/>
        </w:rPr>
        <w:t xml:space="preserve">», для </w:t>
      </w:r>
      <w:r w:rsidR="008A6FAB" w:rsidRPr="008A6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покрытия технической поддержкой:</w:t>
      </w:r>
    </w:p>
    <w:p w:rsidR="008A6FAB" w:rsidRPr="00A35A79" w:rsidRDefault="008A6FAB" w:rsidP="0008583B">
      <w:pPr>
        <w:spacing w:after="10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</w:p>
    <w:tbl>
      <w:tblPr>
        <w:tblStyle w:val="TableGrid"/>
        <w:tblW w:w="9930" w:type="dxa"/>
        <w:tblInd w:w="-238" w:type="dxa"/>
        <w:tblCellMar>
          <w:top w:w="9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76"/>
        <w:gridCol w:w="4061"/>
        <w:gridCol w:w="884"/>
        <w:gridCol w:w="766"/>
        <w:gridCol w:w="1703"/>
        <w:gridCol w:w="2040"/>
      </w:tblGrid>
      <w:tr w:rsidR="002D41AD" w:rsidRPr="004B58B8" w:rsidTr="00726347">
        <w:trPr>
          <w:trHeight w:val="58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4B58B8" w:rsidRDefault="002D41AD" w:rsidP="00E84C1D">
            <w:pPr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" w:name="_Toc69904332"/>
            <w:r w:rsidRPr="004B58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4B58B8" w:rsidRDefault="002D41AD" w:rsidP="00E8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8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4B58B8" w:rsidRDefault="002D41AD" w:rsidP="00E84C1D">
            <w:pPr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8B8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41AD" w:rsidRPr="004B58B8" w:rsidRDefault="002D41AD" w:rsidP="00E8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8B8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Pr="004B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4B58B8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4B58B8" w:rsidRDefault="002D41AD" w:rsidP="00E84C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5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41AD" w:rsidRPr="004B58B8" w:rsidRDefault="002D41AD" w:rsidP="00E8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Инв.номер</w:t>
            </w:r>
            <w:proofErr w:type="spellEnd"/>
            <w:r w:rsidRPr="004B5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5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UMS</w:t>
            </w:r>
            <w:r w:rsidRPr="004B5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6347" w:rsidRPr="00BB3C03" w:rsidTr="00726347">
        <w:trPr>
          <w:trHeight w:val="108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хранения данных/ </w:t>
            </w:r>
            <w:proofErr w:type="spellStart"/>
            <w:r w:rsidRPr="00BB3C03">
              <w:rPr>
                <w:rFonts w:ascii="Times New Roman" w:hAnsi="Times New Roman" w:cs="Times New Roman"/>
                <w:bCs/>
                <w:sz w:val="24"/>
                <w:szCs w:val="24"/>
              </w:rPr>
              <w:t>Storage</w:t>
            </w:r>
            <w:proofErr w:type="spellEnd"/>
            <w:r w:rsidRPr="00BB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3C03">
              <w:rPr>
                <w:rFonts w:ascii="Times New Roman" w:hAnsi="Times New Roman" w:cs="Times New Roman"/>
                <w:bCs/>
                <w:sz w:val="24"/>
                <w:szCs w:val="24"/>
              </w:rPr>
              <w:t>system</w:t>
            </w:r>
            <w:proofErr w:type="spellEnd"/>
            <w:r w:rsidRPr="00BB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VSP G370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452618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000000432819</w:t>
            </w:r>
          </w:p>
        </w:tc>
      </w:tr>
      <w:tr w:rsidR="002D41AD" w:rsidRPr="00BB3C03" w:rsidTr="00726347">
        <w:trPr>
          <w:trHeight w:val="95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хранения данных/ </w:t>
            </w:r>
            <w:proofErr w:type="spellStart"/>
            <w:r w:rsidRPr="00BB3C03">
              <w:rPr>
                <w:rFonts w:ascii="Times New Roman" w:hAnsi="Times New Roman" w:cs="Times New Roman"/>
                <w:bCs/>
                <w:sz w:val="24"/>
                <w:szCs w:val="24"/>
              </w:rPr>
              <w:t>Storage</w:t>
            </w:r>
            <w:proofErr w:type="spellEnd"/>
            <w:r w:rsidRPr="00BB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3C03">
              <w:rPr>
                <w:rFonts w:ascii="Times New Roman" w:hAnsi="Times New Roman" w:cs="Times New Roman"/>
                <w:bCs/>
                <w:sz w:val="24"/>
                <w:szCs w:val="24"/>
              </w:rPr>
              <w:t>system</w:t>
            </w:r>
            <w:proofErr w:type="spellEnd"/>
            <w:r w:rsidRPr="00BB3C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VSP G370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452576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000000432820</w:t>
            </w:r>
          </w:p>
        </w:tc>
      </w:tr>
      <w:tr w:rsidR="002D41AD" w:rsidRPr="00BB3C03" w:rsidTr="00726347">
        <w:trPr>
          <w:trHeight w:val="95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Optical Switch 6505, 24P, 16GB SWL SFP, Ent bundle, port side </w:t>
            </w:r>
            <w:proofErr w:type="spellStart"/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CCD1922P035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000000432821</w:t>
            </w:r>
          </w:p>
        </w:tc>
      </w:tr>
      <w:tr w:rsidR="002D41AD" w:rsidRPr="00BB3C03" w:rsidTr="00726347">
        <w:trPr>
          <w:trHeight w:val="95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Optical Switch 6505, 24P, 16GB SWL SFP, Ent bundle, port side </w:t>
            </w:r>
            <w:proofErr w:type="spellStart"/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CCD1922P037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000000432822</w:t>
            </w:r>
          </w:p>
        </w:tc>
      </w:tr>
      <w:tr w:rsidR="002D41AD" w:rsidRPr="00BB3C03" w:rsidTr="00726347">
        <w:trPr>
          <w:trHeight w:val="95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Optical Switch 6505, 24P, 16GB SWL SFP, Ent bundle, port side </w:t>
            </w:r>
            <w:proofErr w:type="spellStart"/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CCD1922P03A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000000432823</w:t>
            </w:r>
          </w:p>
        </w:tc>
      </w:tr>
      <w:tr w:rsidR="002D41AD" w:rsidRPr="00BB3C03" w:rsidTr="00726347">
        <w:trPr>
          <w:trHeight w:val="95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Коммутатор</w:t>
            </w:r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Optical Switch 6505, 24P, 16GB SWL SFP, Ent bundle, port side </w:t>
            </w:r>
            <w:proofErr w:type="spellStart"/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41AD" w:rsidRPr="00BB3C03" w:rsidRDefault="002D41AD" w:rsidP="00E84C1D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Ком-т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CCD1911P033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1AD" w:rsidRPr="00BB3C03" w:rsidRDefault="002D41AD" w:rsidP="00E84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000000432824</w:t>
            </w:r>
            <w:r w:rsidRPr="00BB3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</w:tbl>
    <w:p w:rsidR="002D41AD" w:rsidRPr="002D41AD" w:rsidRDefault="002D41AD" w:rsidP="002D41AD"/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безопасности</w:t>
      </w:r>
      <w:bookmarkEnd w:id="14"/>
    </w:p>
    <w:p w:rsidR="008A6FAB" w:rsidRPr="008A6FA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Исполнитель будет выполнять плановую и аварийную диагностику Оборудования с использованием персонала на месте эксплуатации или методом удаленного доступа к Оборудованию. </w:t>
      </w:r>
    </w:p>
    <w:p w:rsidR="008A6FAB" w:rsidRPr="008A6FA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Все услуги должны соответствовать требованиям экологических, санитарно-гигиенических, противопожарных и других норм в соответствии с действующим законодательством Республики Узбекистан. </w:t>
      </w:r>
    </w:p>
    <w:p w:rsidR="008A6FAB" w:rsidRPr="008A6FA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>В процессе проведения периодического технического обслуживания Исполнителем должны проводиться внешний и внутренний осмотр и чистка технических средств, проверка контактных соединений, проверка параметров настроек работоспособности технических средств и тестирование их взаимодействия.</w:t>
      </w:r>
    </w:p>
    <w:p w:rsidR="0094244D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Восстановление работоспособности технических средств должно проводиться Исполнителем в соответствии с инструкциями и документами по восстановлению </w:t>
      </w:r>
      <w:r w:rsidRPr="008A6FAB">
        <w:rPr>
          <w:rFonts w:ascii="Times New Roman" w:hAnsi="Times New Roman" w:cs="Times New Roman"/>
          <w:sz w:val="24"/>
          <w:szCs w:val="24"/>
        </w:rPr>
        <w:lastRenderedPageBreak/>
        <w:t xml:space="preserve">работоспособности технических средств </w:t>
      </w:r>
      <w:r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8A6FAB">
        <w:rPr>
          <w:rFonts w:ascii="Times New Roman" w:hAnsi="Times New Roman" w:cs="Times New Roman"/>
          <w:sz w:val="24"/>
          <w:szCs w:val="24"/>
        </w:rPr>
        <w:t xml:space="preserve">и завершаться проведением их тестирования.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C2237" w:rsidRDefault="00DC2237" w:rsidP="00AC20FE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69904333"/>
      <w:r>
        <w:rPr>
          <w:rFonts w:ascii="Times New Roman" w:hAnsi="Times New Roman" w:cs="Times New Roman"/>
          <w:sz w:val="24"/>
          <w:szCs w:val="24"/>
        </w:rPr>
        <w:t>Требования по правилам сдачи и приёмки</w:t>
      </w:r>
      <w:bookmarkEnd w:id="15"/>
    </w:p>
    <w:p w:rsidR="002B7A4E" w:rsidRPr="002B7A4E" w:rsidRDefault="002B7A4E" w:rsidP="002B7A4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A4E">
        <w:rPr>
          <w:rFonts w:ascii="Times New Roman" w:hAnsi="Times New Roman" w:cs="Times New Roman"/>
          <w:sz w:val="24"/>
          <w:szCs w:val="24"/>
        </w:rPr>
        <w:t xml:space="preserve">Исполнитель в течение </w:t>
      </w:r>
      <w:r w:rsidR="008D2369">
        <w:rPr>
          <w:rFonts w:ascii="Times New Roman" w:hAnsi="Times New Roman" w:cs="Times New Roman"/>
          <w:sz w:val="24"/>
          <w:szCs w:val="24"/>
        </w:rPr>
        <w:t>1</w:t>
      </w:r>
      <w:r w:rsidRPr="002B7A4E">
        <w:rPr>
          <w:rFonts w:ascii="Times New Roman" w:hAnsi="Times New Roman" w:cs="Times New Roman"/>
          <w:sz w:val="24"/>
          <w:szCs w:val="24"/>
        </w:rPr>
        <w:t>0 (</w:t>
      </w:r>
      <w:r w:rsidR="008D2369">
        <w:rPr>
          <w:rFonts w:ascii="Times New Roman" w:hAnsi="Times New Roman" w:cs="Times New Roman"/>
          <w:sz w:val="24"/>
          <w:szCs w:val="24"/>
        </w:rPr>
        <w:t>десять</w:t>
      </w:r>
      <w:r w:rsidRPr="002B7A4E">
        <w:rPr>
          <w:rFonts w:ascii="Times New Roman" w:hAnsi="Times New Roman" w:cs="Times New Roman"/>
          <w:sz w:val="24"/>
          <w:szCs w:val="24"/>
        </w:rPr>
        <w:t xml:space="preserve">) банковских дней с момента осуществления авансового платежа, направляет Заказчику официальное подтверждение   о продлении в ресурсе </w:t>
      </w:r>
      <w:proofErr w:type="gramStart"/>
      <w:r w:rsidRPr="002B7A4E">
        <w:rPr>
          <w:rFonts w:ascii="Times New Roman" w:hAnsi="Times New Roman" w:cs="Times New Roman"/>
          <w:sz w:val="24"/>
          <w:szCs w:val="24"/>
        </w:rPr>
        <w:t>у  производителя</w:t>
      </w:r>
      <w:proofErr w:type="gramEnd"/>
      <w:r w:rsidRPr="002B7A4E">
        <w:rPr>
          <w:rFonts w:ascii="Times New Roman" w:hAnsi="Times New Roman" w:cs="Times New Roman"/>
          <w:sz w:val="24"/>
          <w:szCs w:val="24"/>
        </w:rPr>
        <w:t xml:space="preserve"> оборудования,  срока технической поддержки в виде уведомления (скриншот по  ID UMS) и Акта предоставления доступа (активации) к технической поддержке  оборудования системы хранения данных</w:t>
      </w:r>
      <w:r w:rsidR="008457BF">
        <w:rPr>
          <w:rFonts w:ascii="Times New Roman" w:hAnsi="Times New Roman" w:cs="Times New Roman"/>
          <w:sz w:val="24"/>
          <w:szCs w:val="24"/>
        </w:rPr>
        <w:t xml:space="preserve"> </w:t>
      </w:r>
      <w:r w:rsidRPr="002B7A4E">
        <w:rPr>
          <w:rFonts w:ascii="Times New Roman" w:hAnsi="Times New Roman" w:cs="Times New Roman"/>
          <w:sz w:val="24"/>
          <w:szCs w:val="24"/>
        </w:rPr>
        <w:t>.</w:t>
      </w:r>
    </w:p>
    <w:p w:rsidR="002B7A4E" w:rsidRPr="002B7A4E" w:rsidRDefault="002B7A4E" w:rsidP="002B7A4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A4E">
        <w:rPr>
          <w:rFonts w:ascii="Times New Roman" w:hAnsi="Times New Roman" w:cs="Times New Roman"/>
          <w:sz w:val="24"/>
          <w:szCs w:val="24"/>
        </w:rPr>
        <w:t>Доступ к технической поддержке оборудования системы хранения данных предоставляется посредством удаленного доступа и/или сети Интернет вне территории Республики Узбекистан и без выезда представителя Исполнителя в офис и/или на территорию Заказчика.</w:t>
      </w:r>
    </w:p>
    <w:p w:rsidR="002B7A4E" w:rsidRPr="002B7A4E" w:rsidRDefault="002B7A4E" w:rsidP="002B7A4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A4E">
        <w:rPr>
          <w:rFonts w:ascii="Times New Roman" w:hAnsi="Times New Roman" w:cs="Times New Roman"/>
          <w:sz w:val="24"/>
          <w:szCs w:val="24"/>
        </w:rPr>
        <w:t xml:space="preserve">Услуги технической поддержки оборудования оказываются путем формирования запроса заказчика в кол-центр через стандартные каналы связи посредством телефонных звонков и через электронную почту. </w:t>
      </w:r>
    </w:p>
    <w:p w:rsidR="002B7A4E" w:rsidRPr="002B7A4E" w:rsidRDefault="002B7A4E" w:rsidP="002B7A4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A4E">
        <w:rPr>
          <w:rFonts w:ascii="Times New Roman" w:hAnsi="Times New Roman" w:cs="Times New Roman"/>
          <w:sz w:val="24"/>
          <w:szCs w:val="24"/>
        </w:rPr>
        <w:t xml:space="preserve">Уровень сервиса технической поддержки оборудования и ограничения в оказании услуг указан в </w:t>
      </w:r>
      <w:r w:rsidR="008457BF">
        <w:rPr>
          <w:rFonts w:ascii="Times New Roman" w:hAnsi="Times New Roman" w:cs="Times New Roman"/>
          <w:sz w:val="24"/>
          <w:szCs w:val="24"/>
        </w:rPr>
        <w:t>разделе 1.3.,</w:t>
      </w:r>
      <w:r w:rsidRPr="002B7A4E">
        <w:rPr>
          <w:rFonts w:ascii="Times New Roman" w:hAnsi="Times New Roman" w:cs="Times New Roman"/>
          <w:sz w:val="24"/>
          <w:szCs w:val="24"/>
        </w:rPr>
        <w:t xml:space="preserve"> в связи с чем, для исполнения настоящего договора Исполнитель назначает ответственную команду специалистов, </w:t>
      </w:r>
      <w:proofErr w:type="gramStart"/>
      <w:r w:rsidRPr="002B7A4E">
        <w:rPr>
          <w:rFonts w:ascii="Times New Roman" w:hAnsi="Times New Roman" w:cs="Times New Roman"/>
          <w:sz w:val="24"/>
          <w:szCs w:val="24"/>
        </w:rPr>
        <w:t>о чем</w:t>
      </w:r>
      <w:proofErr w:type="gramEnd"/>
      <w:r w:rsidRPr="002B7A4E">
        <w:rPr>
          <w:rFonts w:ascii="Times New Roman" w:hAnsi="Times New Roman" w:cs="Times New Roman"/>
          <w:sz w:val="24"/>
          <w:szCs w:val="24"/>
        </w:rPr>
        <w:t xml:space="preserve"> письменно уведомляет Заказчика.</w:t>
      </w:r>
    </w:p>
    <w:p w:rsidR="002B7A4E" w:rsidRPr="002B7A4E" w:rsidRDefault="002B7A4E" w:rsidP="002B7A4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A4E">
        <w:rPr>
          <w:rFonts w:ascii="Times New Roman" w:hAnsi="Times New Roman" w:cs="Times New Roman"/>
          <w:sz w:val="24"/>
          <w:szCs w:val="24"/>
        </w:rPr>
        <w:t>Сдача - приемка услуг по технической поддержке осуществляется Сторонами, в следующем порядке:</w:t>
      </w:r>
    </w:p>
    <w:p w:rsidR="002B7A4E" w:rsidRPr="002B7A4E" w:rsidRDefault="008457BF" w:rsidP="002B7A4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B7A4E" w:rsidRPr="002B7A4E">
        <w:rPr>
          <w:rFonts w:ascii="Times New Roman" w:hAnsi="Times New Roman" w:cs="Times New Roman"/>
          <w:sz w:val="24"/>
          <w:szCs w:val="24"/>
        </w:rPr>
        <w:t>кт приема - передачи предоставления доступа (активации) к технической поддержке оборудования и счет-фактура предоставляется Исполнителем в течении 5 рабочих дней с даты передачи Доступа к технической поддержке.</w:t>
      </w:r>
    </w:p>
    <w:p w:rsidR="002B7A4E" w:rsidRPr="002B7A4E" w:rsidRDefault="002B7A4E" w:rsidP="002B7A4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A4E">
        <w:rPr>
          <w:rFonts w:ascii="Times New Roman" w:hAnsi="Times New Roman" w:cs="Times New Roman"/>
          <w:sz w:val="24"/>
          <w:szCs w:val="24"/>
        </w:rPr>
        <w:t xml:space="preserve">Заказчик в течение 5 пяти рабочих дней подписывает/подтверждает Акт и счет-фактуру либо направляет Исполнителю мотивированный письменный отказ от их/его подписания/подтверждения. </w:t>
      </w:r>
    </w:p>
    <w:p w:rsidR="002B7A4E" w:rsidRPr="002B7A4E" w:rsidRDefault="002B7A4E" w:rsidP="002B7A4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A4E">
        <w:rPr>
          <w:rFonts w:ascii="Times New Roman" w:hAnsi="Times New Roman" w:cs="Times New Roman"/>
          <w:sz w:val="24"/>
          <w:szCs w:val="24"/>
        </w:rPr>
        <w:t>В случае мотивированного отказа Заказчика от приемки услуг, Сторонами, в трехдневный срок, составляется и подписывается Акт выявленных недостатков и отступлений от условий настоящего Договора.</w:t>
      </w:r>
    </w:p>
    <w:p w:rsidR="002B7A4E" w:rsidRPr="002B7A4E" w:rsidRDefault="002B7A4E" w:rsidP="002B7A4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A4E">
        <w:rPr>
          <w:rFonts w:ascii="Times New Roman" w:hAnsi="Times New Roman" w:cs="Times New Roman"/>
          <w:sz w:val="24"/>
          <w:szCs w:val="24"/>
        </w:rPr>
        <w:t xml:space="preserve">Выявленные при приемке Услуг недостатки и отступления от условий </w:t>
      </w:r>
      <w:r w:rsidR="008457BF">
        <w:rPr>
          <w:rFonts w:ascii="Times New Roman" w:hAnsi="Times New Roman" w:cs="Times New Roman"/>
          <w:sz w:val="24"/>
          <w:szCs w:val="24"/>
        </w:rPr>
        <w:t xml:space="preserve">выполнения Услуг, </w:t>
      </w:r>
      <w:r w:rsidRPr="002B7A4E">
        <w:rPr>
          <w:rFonts w:ascii="Times New Roman" w:hAnsi="Times New Roman" w:cs="Times New Roman"/>
          <w:sz w:val="24"/>
          <w:szCs w:val="24"/>
        </w:rPr>
        <w:t>устраняются Исполнителем за свой счет в течение 10 (десяти) рабочих дней.</w:t>
      </w:r>
    </w:p>
    <w:p w:rsidR="002B7A4E" w:rsidRPr="002B7A4E" w:rsidRDefault="002B7A4E" w:rsidP="002B7A4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A4E">
        <w:rPr>
          <w:rFonts w:ascii="Times New Roman" w:hAnsi="Times New Roman" w:cs="Times New Roman"/>
          <w:sz w:val="24"/>
          <w:szCs w:val="24"/>
        </w:rPr>
        <w:t>Услуги по передачи доступа к технической поддержке оборудования системы хранения данных считаются оказанными с момента подписания обеими Сторонами соответствующего Акта приема- передачи и счет фактуры.</w:t>
      </w:r>
    </w:p>
    <w:p w:rsidR="0008583B" w:rsidRDefault="002B7A4E" w:rsidP="008457BF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A4E">
        <w:rPr>
          <w:rFonts w:ascii="Times New Roman" w:hAnsi="Times New Roman" w:cs="Times New Roman"/>
          <w:sz w:val="24"/>
          <w:szCs w:val="24"/>
        </w:rPr>
        <w:t xml:space="preserve">В случае выявления поломки, дефектов деталей, узлов и/или оборудования в период действия технической поддержки, согласно длительности действия технической поддержки производителя, указанной в </w:t>
      </w:r>
      <w:r w:rsidR="008457BF">
        <w:rPr>
          <w:rFonts w:ascii="Times New Roman" w:hAnsi="Times New Roman" w:cs="Times New Roman"/>
          <w:sz w:val="24"/>
          <w:szCs w:val="24"/>
        </w:rPr>
        <w:t>разделе 1.3.</w:t>
      </w:r>
      <w:r w:rsidRPr="002B7A4E">
        <w:rPr>
          <w:rFonts w:ascii="Times New Roman" w:hAnsi="Times New Roman" w:cs="Times New Roman"/>
          <w:sz w:val="24"/>
          <w:szCs w:val="24"/>
        </w:rPr>
        <w:t xml:space="preserve">, Исполнитель обеспечивает бесплатную замену неисправных деталей. Доставка и передача на замену деталей, узлов и/или оборудования, указанных в настоящем пункте, осуществляется по акту приема-передачи со стороны сервисного склада производителя оборудования </w:t>
      </w:r>
      <w:proofErr w:type="spellStart"/>
      <w:r w:rsidRPr="002B7A4E">
        <w:rPr>
          <w:rFonts w:ascii="Times New Roman" w:hAnsi="Times New Roman" w:cs="Times New Roman"/>
          <w:sz w:val="24"/>
          <w:szCs w:val="24"/>
        </w:rPr>
        <w:t>Hitachi</w:t>
      </w:r>
      <w:proofErr w:type="spellEnd"/>
      <w:r w:rsidR="008457BF" w:rsidRPr="008457BF">
        <w:rPr>
          <w:rFonts w:ascii="Times New Roman" w:hAnsi="Times New Roman" w:cs="Times New Roman"/>
          <w:sz w:val="24"/>
          <w:szCs w:val="24"/>
        </w:rPr>
        <w:t>&amp;</w:t>
      </w:r>
      <w:r w:rsidR="008457BF">
        <w:rPr>
          <w:rFonts w:ascii="Times New Roman" w:hAnsi="Times New Roman" w:cs="Times New Roman"/>
          <w:sz w:val="24"/>
          <w:szCs w:val="24"/>
          <w:lang w:val="en-US"/>
        </w:rPr>
        <w:t>Brocade</w:t>
      </w:r>
      <w:r w:rsidR="00E921F8">
        <w:rPr>
          <w:rFonts w:ascii="Times New Roman" w:hAnsi="Times New Roman" w:cs="Times New Roman"/>
          <w:sz w:val="24"/>
          <w:szCs w:val="24"/>
        </w:rPr>
        <w:t xml:space="preserve">. </w:t>
      </w:r>
      <w:r w:rsidRPr="002B7A4E">
        <w:rPr>
          <w:rFonts w:ascii="Times New Roman" w:hAnsi="Times New Roman" w:cs="Times New Roman"/>
          <w:sz w:val="24"/>
          <w:szCs w:val="24"/>
        </w:rPr>
        <w:t xml:space="preserve"> Срок замены деталей/оборудование со дня подачи заявки Заказчиком, согласно </w:t>
      </w:r>
      <w:proofErr w:type="gramStart"/>
      <w:r w:rsidRPr="002B7A4E">
        <w:rPr>
          <w:rFonts w:ascii="Times New Roman" w:hAnsi="Times New Roman" w:cs="Times New Roman"/>
          <w:sz w:val="24"/>
          <w:szCs w:val="24"/>
        </w:rPr>
        <w:t>сроков</w:t>
      </w:r>
      <w:proofErr w:type="gramEnd"/>
      <w:r w:rsidRPr="002B7A4E">
        <w:rPr>
          <w:rFonts w:ascii="Times New Roman" w:hAnsi="Times New Roman" w:cs="Times New Roman"/>
          <w:sz w:val="24"/>
          <w:szCs w:val="24"/>
        </w:rPr>
        <w:t xml:space="preserve"> указанных в </w:t>
      </w:r>
      <w:r w:rsidR="008457BF">
        <w:rPr>
          <w:rFonts w:ascii="Times New Roman" w:hAnsi="Times New Roman" w:cs="Times New Roman"/>
          <w:sz w:val="24"/>
          <w:szCs w:val="24"/>
        </w:rPr>
        <w:t>разделе 1.3.</w:t>
      </w: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69904334"/>
      <w:r>
        <w:rPr>
          <w:rFonts w:ascii="Times New Roman" w:hAnsi="Times New Roman" w:cs="Times New Roman"/>
          <w:sz w:val="24"/>
          <w:szCs w:val="24"/>
        </w:rPr>
        <w:lastRenderedPageBreak/>
        <w:t>Требования к объёму и/или сроку предоставления гарантий</w:t>
      </w:r>
      <w:bookmarkEnd w:id="16"/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производит отправку/ремонт и/или замену неисправного оборудования/детали.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Заказчик связывается по Горячей Линии (телефон, факс, e-</w:t>
      </w:r>
      <w:proofErr w:type="spellStart"/>
      <w:r w:rsidRPr="0078083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80833">
        <w:rPr>
          <w:rFonts w:ascii="Times New Roman" w:hAnsi="Times New Roman" w:cs="Times New Roman"/>
          <w:sz w:val="24"/>
          <w:szCs w:val="24"/>
        </w:rPr>
        <w:t xml:space="preserve">), либо иным доступным способом с Исполнителем. Дальнейшие действия по демонтажу и логистике компонентов оборудования Исполнитель берет на себя. 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Гарантийный срок на замененное оборудование в ходе технической поддержки не менее 12 месяцев с момента ввода в эксплуатацию.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Исполнитель организует поставку отремонтированных или замененных компонентов Оборудования согласно установленным срокам в пункте 1.3. 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может по своему усмотрению отремонтировать или заменить любой неисправный компонент на ранее отремонтированный в фабричных условиях компонент.</w:t>
      </w:r>
    </w:p>
    <w:p w:rsidR="0094244D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несет ответственность за поддержание в месте установки достаточного количества запасных частей и расходных материалов.</w:t>
      </w:r>
      <w:r w:rsidR="00780833" w:rsidRPr="007808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7BF" w:rsidRPr="008457BF" w:rsidRDefault="008457BF" w:rsidP="008457BF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7BF">
        <w:rPr>
          <w:rFonts w:ascii="Times New Roman" w:hAnsi="Times New Roman" w:cs="Times New Roman"/>
          <w:sz w:val="24"/>
          <w:szCs w:val="24"/>
        </w:rPr>
        <w:t xml:space="preserve">Исполнитель гарантирует качественное оказание Услуг, соответствие оказанных Услуг, нормам и стандартам </w:t>
      </w:r>
      <w:proofErr w:type="gramStart"/>
      <w:r w:rsidRPr="008457BF">
        <w:rPr>
          <w:rFonts w:ascii="Times New Roman" w:hAnsi="Times New Roman" w:cs="Times New Roman"/>
          <w:sz w:val="24"/>
          <w:szCs w:val="24"/>
        </w:rPr>
        <w:t xml:space="preserve">Производителя,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7B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457BF">
        <w:rPr>
          <w:rFonts w:ascii="Times New Roman" w:hAnsi="Times New Roman" w:cs="Times New Roman"/>
          <w:sz w:val="24"/>
          <w:szCs w:val="24"/>
        </w:rPr>
        <w:t xml:space="preserve"> требованиям Заказчика.</w:t>
      </w:r>
    </w:p>
    <w:p w:rsidR="008457BF" w:rsidRDefault="008457BF" w:rsidP="008457BF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7BF">
        <w:rPr>
          <w:rFonts w:ascii="Times New Roman" w:hAnsi="Times New Roman" w:cs="Times New Roman"/>
          <w:sz w:val="24"/>
          <w:szCs w:val="24"/>
        </w:rPr>
        <w:t>На замененное оборудование, используемые материалы, Исполнитель устанавливает гарантийный срок, соответствующий гарантии на основное оборудование.</w:t>
      </w:r>
    </w:p>
    <w:p w:rsidR="0008583B" w:rsidRPr="00780833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69904335"/>
      <w:r>
        <w:rPr>
          <w:rFonts w:ascii="Times New Roman" w:hAnsi="Times New Roman" w:cs="Times New Roman"/>
          <w:sz w:val="24"/>
          <w:szCs w:val="24"/>
        </w:rPr>
        <w:t>Процедура передачи исключительных прав и иных документов на объект</w:t>
      </w:r>
      <w:bookmarkEnd w:id="17"/>
    </w:p>
    <w:p w:rsidR="0094244D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08583B" w:rsidRPr="00780833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69904336"/>
      <w:r>
        <w:rPr>
          <w:rFonts w:ascii="Times New Roman" w:hAnsi="Times New Roman" w:cs="Times New Roman"/>
          <w:sz w:val="24"/>
          <w:szCs w:val="24"/>
        </w:rPr>
        <w:t>Требования по техническому обучению персонала</w:t>
      </w:r>
      <w:bookmarkEnd w:id="18"/>
    </w:p>
    <w:p w:rsidR="0094244D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ind w:left="567" w:hanging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69904337"/>
      <w:r>
        <w:rPr>
          <w:rFonts w:ascii="Times New Roman" w:hAnsi="Times New Roman" w:cs="Times New Roman"/>
          <w:sz w:val="24"/>
          <w:szCs w:val="24"/>
        </w:rPr>
        <w:t>Дополнительные требования</w:t>
      </w:r>
      <w:bookmarkEnd w:id="19"/>
    </w:p>
    <w:p w:rsidR="0094244D" w:rsidRDefault="0008583B" w:rsidP="00AC20FE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583B">
        <w:rPr>
          <w:rFonts w:ascii="Times New Roman" w:hAnsi="Times New Roman" w:cs="Times New Roman"/>
          <w:sz w:val="24"/>
          <w:szCs w:val="24"/>
        </w:rPr>
        <w:t>Обязательным условием оказания услуг по ТП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 Заказчик предоставляет Исполнителю список и контактные данные персонала, уполномоченного им на контакты с Исполнителем по решению заявленных 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83B">
        <w:rPr>
          <w:rFonts w:ascii="Times New Roman" w:hAnsi="Times New Roman" w:cs="Times New Roman"/>
          <w:sz w:val="24"/>
          <w:szCs w:val="24"/>
        </w:rPr>
        <w:t>При изменении контактных данных Службы Сервиса, Исполнитель обязан отправить соответствующее уведомление Заказчику минимум за 3 (три) дня до таких изменений</w:t>
      </w:r>
      <w:r w:rsidR="007808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C20FE" w:rsidRDefault="00AC20FE" w:rsidP="0008583B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69904338"/>
      <w:r>
        <w:rPr>
          <w:rFonts w:ascii="Times New Roman" w:hAnsi="Times New Roman" w:cs="Times New Roman"/>
          <w:sz w:val="24"/>
          <w:szCs w:val="24"/>
        </w:rPr>
        <w:t>Перечень принятых сокращений</w:t>
      </w:r>
      <w:bookmarkEnd w:id="20"/>
    </w:p>
    <w:tbl>
      <w:tblPr>
        <w:tblStyle w:val="a3"/>
        <w:tblW w:w="9270" w:type="dxa"/>
        <w:jc w:val="center"/>
        <w:tblLook w:val="04A0" w:firstRow="1" w:lastRow="0" w:firstColumn="1" w:lastColumn="0" w:noHBand="0" w:noVBand="1"/>
      </w:tblPr>
      <w:tblGrid>
        <w:gridCol w:w="1044"/>
        <w:gridCol w:w="2377"/>
        <w:gridCol w:w="5849"/>
      </w:tblGrid>
      <w:tr w:rsidR="0094244D" w:rsidRPr="008457BF">
        <w:trPr>
          <w:trHeight w:val="399"/>
          <w:jc w:val="center"/>
        </w:trPr>
        <w:tc>
          <w:tcPr>
            <w:tcW w:w="1044" w:type="dxa"/>
          </w:tcPr>
          <w:p w:rsidR="0094244D" w:rsidRPr="008457BF" w:rsidRDefault="008710D9" w:rsidP="0008583B">
            <w:pPr>
              <w:spacing w:after="100" w:line="259" w:lineRule="auto"/>
              <w:jc w:val="both"/>
            </w:pPr>
            <w:r w:rsidRPr="008457BF">
              <w:t>№ п/п</w:t>
            </w:r>
          </w:p>
        </w:tc>
        <w:tc>
          <w:tcPr>
            <w:tcW w:w="2377" w:type="dxa"/>
          </w:tcPr>
          <w:p w:rsidR="0094244D" w:rsidRPr="008457BF" w:rsidRDefault="008710D9" w:rsidP="0008583B">
            <w:pPr>
              <w:spacing w:after="100" w:line="259" w:lineRule="auto"/>
              <w:jc w:val="both"/>
            </w:pPr>
            <w:r w:rsidRPr="008457BF">
              <w:t>Сокращение</w:t>
            </w:r>
          </w:p>
        </w:tc>
        <w:tc>
          <w:tcPr>
            <w:tcW w:w="5849" w:type="dxa"/>
          </w:tcPr>
          <w:p w:rsidR="0094244D" w:rsidRPr="008457BF" w:rsidRDefault="008710D9" w:rsidP="0008583B">
            <w:pPr>
              <w:spacing w:after="100" w:line="259" w:lineRule="auto"/>
              <w:jc w:val="both"/>
            </w:pPr>
            <w:r w:rsidRPr="008457BF">
              <w:t>Расшифровка сокращения</w:t>
            </w:r>
          </w:p>
        </w:tc>
      </w:tr>
      <w:tr w:rsidR="0094244D" w:rsidRPr="008457BF" w:rsidTr="008457BF">
        <w:trPr>
          <w:trHeight w:val="170"/>
          <w:jc w:val="center"/>
        </w:trPr>
        <w:tc>
          <w:tcPr>
            <w:tcW w:w="1044" w:type="dxa"/>
          </w:tcPr>
          <w:p w:rsidR="0094244D" w:rsidRPr="008457BF" w:rsidRDefault="00780833" w:rsidP="00004B5D">
            <w:pPr>
              <w:spacing w:line="259" w:lineRule="auto"/>
              <w:contextualSpacing/>
              <w:jc w:val="both"/>
            </w:pPr>
            <w:r w:rsidRPr="008457BF">
              <w:t>1</w:t>
            </w:r>
          </w:p>
        </w:tc>
        <w:tc>
          <w:tcPr>
            <w:tcW w:w="2377" w:type="dxa"/>
          </w:tcPr>
          <w:p w:rsidR="0094244D" w:rsidRPr="008457BF" w:rsidRDefault="00780833" w:rsidP="00004B5D">
            <w:pPr>
              <w:spacing w:line="259" w:lineRule="auto"/>
              <w:contextualSpacing/>
              <w:jc w:val="both"/>
              <w:rPr>
                <w:lang w:val="en-US"/>
              </w:rPr>
            </w:pPr>
            <w:r w:rsidRPr="008457BF">
              <w:t>RMA</w:t>
            </w:r>
          </w:p>
        </w:tc>
        <w:tc>
          <w:tcPr>
            <w:tcW w:w="5849" w:type="dxa"/>
          </w:tcPr>
          <w:p w:rsidR="0094244D" w:rsidRPr="008457BF" w:rsidRDefault="00780833" w:rsidP="008457BF">
            <w:pPr>
              <w:spacing w:line="259" w:lineRule="auto"/>
              <w:contextualSpacing/>
            </w:pPr>
            <w:r w:rsidRPr="008457BF">
              <w:t xml:space="preserve">Замена товара </w:t>
            </w:r>
            <w:r w:rsidR="00DC2237" w:rsidRPr="008457BF">
              <w:t xml:space="preserve">(запчасти) </w:t>
            </w:r>
            <w:r w:rsidRPr="008457BF">
              <w:t>по</w:t>
            </w:r>
            <w:r w:rsidR="008457BF">
              <w:t xml:space="preserve"> </w:t>
            </w:r>
            <w:r w:rsidRPr="008457BF">
              <w:t>разрешению на возврат материалов</w:t>
            </w:r>
          </w:p>
        </w:tc>
      </w:tr>
      <w:tr w:rsidR="0094244D" w:rsidRPr="008457BF" w:rsidTr="008457BF">
        <w:trPr>
          <w:trHeight w:val="187"/>
          <w:jc w:val="center"/>
        </w:trPr>
        <w:tc>
          <w:tcPr>
            <w:tcW w:w="1044" w:type="dxa"/>
          </w:tcPr>
          <w:p w:rsidR="0094244D" w:rsidRPr="008457BF" w:rsidRDefault="00780833" w:rsidP="00004B5D">
            <w:pPr>
              <w:spacing w:line="259" w:lineRule="auto"/>
              <w:contextualSpacing/>
              <w:jc w:val="both"/>
            </w:pPr>
            <w:r w:rsidRPr="008457BF">
              <w:t>2</w:t>
            </w:r>
          </w:p>
        </w:tc>
        <w:tc>
          <w:tcPr>
            <w:tcW w:w="2377" w:type="dxa"/>
          </w:tcPr>
          <w:p w:rsidR="0094244D" w:rsidRPr="008457BF" w:rsidRDefault="00780833" w:rsidP="00004B5D">
            <w:pPr>
              <w:spacing w:line="259" w:lineRule="auto"/>
              <w:contextualSpacing/>
              <w:jc w:val="both"/>
            </w:pPr>
            <w:r w:rsidRPr="008457BF">
              <w:rPr>
                <w:lang w:eastAsia="ru-RU"/>
              </w:rPr>
              <w:t>ПО</w:t>
            </w:r>
          </w:p>
        </w:tc>
        <w:tc>
          <w:tcPr>
            <w:tcW w:w="5849" w:type="dxa"/>
          </w:tcPr>
          <w:p w:rsidR="0094244D" w:rsidRPr="008457BF" w:rsidRDefault="00780833" w:rsidP="00004B5D">
            <w:pPr>
              <w:spacing w:line="259" w:lineRule="auto"/>
              <w:contextualSpacing/>
              <w:jc w:val="both"/>
            </w:pPr>
            <w:r w:rsidRPr="008457BF">
              <w:t>Программное обеспечение</w:t>
            </w:r>
          </w:p>
        </w:tc>
      </w:tr>
      <w:tr w:rsidR="0094244D" w:rsidRPr="008457BF">
        <w:trPr>
          <w:trHeight w:val="396"/>
          <w:jc w:val="center"/>
        </w:trPr>
        <w:tc>
          <w:tcPr>
            <w:tcW w:w="1044" w:type="dxa"/>
          </w:tcPr>
          <w:p w:rsidR="0094244D" w:rsidRPr="008457BF" w:rsidRDefault="00780833" w:rsidP="00004B5D">
            <w:pPr>
              <w:spacing w:line="259" w:lineRule="auto"/>
              <w:contextualSpacing/>
              <w:jc w:val="both"/>
              <w:rPr>
                <w:lang w:val="en-US"/>
              </w:rPr>
            </w:pPr>
            <w:r w:rsidRPr="008457BF">
              <w:rPr>
                <w:lang w:val="en-US"/>
              </w:rPr>
              <w:t>3</w:t>
            </w:r>
          </w:p>
        </w:tc>
        <w:tc>
          <w:tcPr>
            <w:tcW w:w="2377" w:type="dxa"/>
          </w:tcPr>
          <w:p w:rsidR="0094244D" w:rsidRPr="008457BF" w:rsidRDefault="00780833" w:rsidP="00004B5D">
            <w:pPr>
              <w:spacing w:line="259" w:lineRule="auto"/>
              <w:contextualSpacing/>
              <w:jc w:val="both"/>
              <w:rPr>
                <w:lang w:val="en-US"/>
              </w:rPr>
            </w:pPr>
            <w:r w:rsidRPr="008457BF">
              <w:rPr>
                <w:lang w:val="en-US"/>
              </w:rPr>
              <w:t>SLA</w:t>
            </w:r>
          </w:p>
        </w:tc>
        <w:tc>
          <w:tcPr>
            <w:tcW w:w="5849" w:type="dxa"/>
          </w:tcPr>
          <w:p w:rsidR="0094244D" w:rsidRPr="008457BF" w:rsidRDefault="00780833" w:rsidP="00004B5D">
            <w:pPr>
              <w:spacing w:line="259" w:lineRule="auto"/>
              <w:contextualSpacing/>
              <w:jc w:val="both"/>
            </w:pPr>
            <w:proofErr w:type="spellStart"/>
            <w:r w:rsidRPr="008457BF">
              <w:t>Service</w:t>
            </w:r>
            <w:proofErr w:type="spellEnd"/>
            <w:r w:rsidRPr="008457BF">
              <w:t xml:space="preserve"> </w:t>
            </w:r>
            <w:proofErr w:type="spellStart"/>
            <w:r w:rsidRPr="008457BF">
              <w:t>Level</w:t>
            </w:r>
            <w:proofErr w:type="spellEnd"/>
            <w:r w:rsidRPr="008457BF">
              <w:t xml:space="preserve"> </w:t>
            </w:r>
            <w:proofErr w:type="spellStart"/>
            <w:r w:rsidRPr="008457BF">
              <w:t>Agreement</w:t>
            </w:r>
            <w:proofErr w:type="spellEnd"/>
            <w:r w:rsidRPr="008457BF">
              <w:t xml:space="preserve"> - Соглашение об уровне услуги</w:t>
            </w:r>
          </w:p>
        </w:tc>
      </w:tr>
      <w:tr w:rsidR="006B5A21" w:rsidRPr="008457BF">
        <w:trPr>
          <w:trHeight w:val="396"/>
          <w:jc w:val="center"/>
        </w:trPr>
        <w:tc>
          <w:tcPr>
            <w:tcW w:w="1044" w:type="dxa"/>
          </w:tcPr>
          <w:p w:rsidR="006B5A21" w:rsidRPr="008457BF" w:rsidRDefault="006B5A21" w:rsidP="00004B5D">
            <w:pPr>
              <w:spacing w:line="259" w:lineRule="auto"/>
              <w:contextualSpacing/>
              <w:jc w:val="both"/>
            </w:pPr>
            <w:r w:rsidRPr="008457BF">
              <w:lastRenderedPageBreak/>
              <w:t>4</w:t>
            </w:r>
          </w:p>
        </w:tc>
        <w:tc>
          <w:tcPr>
            <w:tcW w:w="2377" w:type="dxa"/>
          </w:tcPr>
          <w:p w:rsidR="006B5A21" w:rsidRPr="008457BF" w:rsidRDefault="006B5A21" w:rsidP="00004B5D">
            <w:pPr>
              <w:spacing w:line="259" w:lineRule="auto"/>
              <w:contextualSpacing/>
              <w:jc w:val="both"/>
            </w:pPr>
            <w:r w:rsidRPr="008457BF">
              <w:rPr>
                <w:lang w:val="en-US"/>
              </w:rPr>
              <w:t>Patches (</w:t>
            </w:r>
            <w:proofErr w:type="spellStart"/>
            <w:r w:rsidRPr="008457BF">
              <w:t>патч</w:t>
            </w:r>
            <w:proofErr w:type="spellEnd"/>
            <w:r w:rsidRPr="008457BF">
              <w:t>)</w:t>
            </w:r>
          </w:p>
        </w:tc>
        <w:tc>
          <w:tcPr>
            <w:tcW w:w="5849" w:type="dxa"/>
          </w:tcPr>
          <w:p w:rsidR="006B5A21" w:rsidRPr="008457BF" w:rsidRDefault="006B5A21" w:rsidP="00004B5D">
            <w:pPr>
              <w:spacing w:line="259" w:lineRule="auto"/>
              <w:contextualSpacing/>
              <w:jc w:val="both"/>
            </w:pPr>
            <w:r w:rsidRPr="008457BF">
              <w:t>Автоматизированное отдельно поставляемое программное средство, используемое для устранения проблем в программном обеспечении</w:t>
            </w:r>
          </w:p>
        </w:tc>
      </w:tr>
      <w:tr w:rsidR="00004B5D" w:rsidRPr="008457BF">
        <w:trPr>
          <w:trHeight w:val="396"/>
          <w:jc w:val="center"/>
        </w:trPr>
        <w:tc>
          <w:tcPr>
            <w:tcW w:w="1044" w:type="dxa"/>
          </w:tcPr>
          <w:p w:rsidR="00004B5D" w:rsidRPr="008457BF" w:rsidRDefault="00004B5D" w:rsidP="00004B5D">
            <w:pPr>
              <w:contextualSpacing/>
              <w:jc w:val="both"/>
            </w:pPr>
            <w:r w:rsidRPr="008457BF">
              <w:t>5</w:t>
            </w:r>
          </w:p>
        </w:tc>
        <w:tc>
          <w:tcPr>
            <w:tcW w:w="2377" w:type="dxa"/>
          </w:tcPr>
          <w:p w:rsidR="00004B5D" w:rsidRPr="008457BF" w:rsidRDefault="00004B5D" w:rsidP="00004B5D">
            <w:pPr>
              <w:contextualSpacing/>
              <w:jc w:val="both"/>
              <w:rPr>
                <w:lang w:val="en-US"/>
              </w:rPr>
            </w:pPr>
            <w:r w:rsidRPr="008457BF">
              <w:rPr>
                <w:lang w:val="en-US"/>
              </w:rPr>
              <w:t>Firmware (</w:t>
            </w:r>
            <w:r w:rsidRPr="008457BF">
              <w:t>микрокод</w:t>
            </w:r>
            <w:r w:rsidRPr="008457BF">
              <w:rPr>
                <w:lang w:val="en-US"/>
              </w:rPr>
              <w:t>)</w:t>
            </w:r>
          </w:p>
        </w:tc>
        <w:tc>
          <w:tcPr>
            <w:tcW w:w="5849" w:type="dxa"/>
          </w:tcPr>
          <w:p w:rsidR="00004B5D" w:rsidRPr="008457BF" w:rsidRDefault="00004B5D" w:rsidP="00004B5D">
            <w:pPr>
              <w:contextualSpacing/>
              <w:jc w:val="both"/>
              <w:rPr>
                <w:lang w:val="en-US"/>
              </w:rPr>
            </w:pPr>
            <w:r w:rsidRPr="008457BF">
              <w:t>Прошивка, микрокод</w:t>
            </w:r>
          </w:p>
        </w:tc>
      </w:tr>
    </w:tbl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69904339"/>
      <w:r>
        <w:rPr>
          <w:rFonts w:ascii="Times New Roman" w:hAnsi="Times New Roman" w:cs="Times New Roman"/>
          <w:sz w:val="24"/>
          <w:szCs w:val="24"/>
        </w:rPr>
        <w:t>Перечень приложений</w:t>
      </w:r>
      <w:bookmarkEnd w:id="21"/>
    </w:p>
    <w:p w:rsidR="0094244D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Перечень приложений не предъявля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80833">
        <w:rPr>
          <w:rFonts w:ascii="Times New Roman" w:hAnsi="Times New Roman" w:cs="Times New Roman"/>
          <w:sz w:val="24"/>
          <w:szCs w:val="24"/>
        </w:rPr>
        <w:t>тся.</w:t>
      </w:r>
    </w:p>
    <w:p w:rsidR="00780833" w:rsidRDefault="00780833" w:rsidP="0008583B">
      <w:pPr>
        <w:autoSpaceDE w:val="0"/>
        <w:autoSpaceDN w:val="0"/>
        <w:adjustRightInd w:val="0"/>
        <w:spacing w:after="1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Матрица распределения ответственности при оказании Услуг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1270"/>
      </w:tblGrid>
      <w:tr w:rsidR="00780833" w:rsidRPr="008457BF" w:rsidTr="00A62675">
        <w:tc>
          <w:tcPr>
            <w:tcW w:w="6516" w:type="dxa"/>
          </w:tcPr>
          <w:p w:rsidR="00780833" w:rsidRPr="008457BF" w:rsidRDefault="00780833" w:rsidP="0008583B">
            <w:pPr>
              <w:autoSpaceDE w:val="0"/>
              <w:autoSpaceDN w:val="0"/>
              <w:adjustRightInd w:val="0"/>
              <w:spacing w:after="100" w:line="259" w:lineRule="auto"/>
              <w:rPr>
                <w:b/>
                <w:color w:val="000000"/>
              </w:rPr>
            </w:pPr>
            <w:r w:rsidRPr="008457BF">
              <w:rPr>
                <w:b/>
                <w:color w:val="000000"/>
              </w:rPr>
              <w:t>Техническое обслуживание</w:t>
            </w:r>
          </w:p>
        </w:tc>
        <w:tc>
          <w:tcPr>
            <w:tcW w:w="1559" w:type="dxa"/>
            <w:vAlign w:val="center"/>
          </w:tcPr>
          <w:p w:rsidR="00780833" w:rsidRPr="008457BF" w:rsidRDefault="00780833" w:rsidP="0008583B">
            <w:pPr>
              <w:autoSpaceDE w:val="0"/>
              <w:autoSpaceDN w:val="0"/>
              <w:adjustRightInd w:val="0"/>
              <w:spacing w:after="100" w:line="259" w:lineRule="auto"/>
              <w:rPr>
                <w:b/>
                <w:color w:val="000000"/>
              </w:rPr>
            </w:pPr>
            <w:r w:rsidRPr="008457BF">
              <w:rPr>
                <w:b/>
                <w:color w:val="000000"/>
              </w:rPr>
              <w:t>Исполнитель</w:t>
            </w:r>
          </w:p>
        </w:tc>
        <w:tc>
          <w:tcPr>
            <w:tcW w:w="1270" w:type="dxa"/>
            <w:vAlign w:val="center"/>
          </w:tcPr>
          <w:p w:rsidR="00780833" w:rsidRPr="008457BF" w:rsidRDefault="00780833" w:rsidP="0008583B">
            <w:pPr>
              <w:autoSpaceDE w:val="0"/>
              <w:autoSpaceDN w:val="0"/>
              <w:adjustRightInd w:val="0"/>
              <w:spacing w:after="100" w:line="259" w:lineRule="auto"/>
              <w:rPr>
                <w:b/>
                <w:color w:val="000000"/>
              </w:rPr>
            </w:pPr>
            <w:r w:rsidRPr="008457BF">
              <w:rPr>
                <w:b/>
                <w:color w:val="000000"/>
              </w:rPr>
              <w:t xml:space="preserve">  Заказчик</w:t>
            </w:r>
          </w:p>
        </w:tc>
      </w:tr>
      <w:tr w:rsidR="00780833" w:rsidRPr="008457BF" w:rsidTr="00A62675">
        <w:trPr>
          <w:trHeight w:val="371"/>
        </w:trPr>
        <w:tc>
          <w:tcPr>
            <w:tcW w:w="9345" w:type="dxa"/>
            <w:gridSpan w:val="3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b/>
                <w:lang w:eastAsia="ru-RU"/>
              </w:rPr>
              <w:t>Доступность системы</w:t>
            </w:r>
            <w:r w:rsidRPr="008457BF">
              <w:rPr>
                <w:lang w:eastAsia="ru-RU"/>
              </w:rPr>
              <w:t>  </w:t>
            </w:r>
          </w:p>
        </w:tc>
      </w:tr>
      <w:tr w:rsidR="00780833" w:rsidRPr="008457BF" w:rsidTr="00A62675">
        <w:tc>
          <w:tcPr>
            <w:tcW w:w="6516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 xml:space="preserve">Обнаружение и классификация приоритетности проблемы, открытие запроса для решения в </w:t>
            </w:r>
            <w:r w:rsidR="00A004A6" w:rsidRPr="008457BF">
              <w:rPr>
                <w:lang w:val="en-US"/>
              </w:rPr>
              <w:t>Hitachi</w:t>
            </w:r>
            <w:r w:rsidR="00A004A6" w:rsidRPr="008457BF">
              <w:t xml:space="preserve"> </w:t>
            </w:r>
            <w:proofErr w:type="spellStart"/>
            <w:r w:rsidR="00A004A6" w:rsidRPr="008457BF">
              <w:rPr>
                <w:lang w:val="en-US"/>
              </w:rPr>
              <w:t>Vantara</w:t>
            </w:r>
            <w:proofErr w:type="spellEnd"/>
            <w:r w:rsidR="00A004A6" w:rsidRPr="008457BF">
              <w:t xml:space="preserve"> и </w:t>
            </w:r>
            <w:r w:rsidR="00A004A6" w:rsidRPr="008457BF">
              <w:rPr>
                <w:lang w:val="en-US"/>
              </w:rPr>
              <w:t>Brocade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</w:tr>
      <w:tr w:rsidR="00780833" w:rsidRPr="008457BF" w:rsidTr="00A62675">
        <w:tc>
          <w:tcPr>
            <w:tcW w:w="6516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 xml:space="preserve">Доставка запчастей, включая таможенную очистку и логистику 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-</w:t>
            </w:r>
          </w:p>
        </w:tc>
      </w:tr>
      <w:tr w:rsidR="00780833" w:rsidRPr="008457BF" w:rsidTr="00A62675">
        <w:trPr>
          <w:trHeight w:val="230"/>
        </w:trPr>
        <w:tc>
          <w:tcPr>
            <w:tcW w:w="6516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>Установка запасных частей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A</w:t>
            </w:r>
          </w:p>
        </w:tc>
      </w:tr>
      <w:tr w:rsidR="00780833" w:rsidRPr="008457BF" w:rsidTr="00A62675">
        <w:tc>
          <w:tcPr>
            <w:tcW w:w="6516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>Производить настройку оборудования заказчика по запросу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</w:tr>
      <w:tr w:rsidR="00780833" w:rsidRPr="008457BF" w:rsidTr="00A62675">
        <w:tc>
          <w:tcPr>
            <w:tcW w:w="6516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>Предоставлять статистику решения проблем за отчетный период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A</w:t>
            </w:r>
          </w:p>
        </w:tc>
      </w:tr>
      <w:tr w:rsidR="00780833" w:rsidRPr="008457BF" w:rsidTr="00A62675">
        <w:tc>
          <w:tcPr>
            <w:tcW w:w="6516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lang w:eastAsia="ru-RU"/>
              </w:rPr>
              <w:t xml:space="preserve">Регистрировать все оборудование на портале  </w:t>
            </w:r>
            <w:r w:rsidR="00A004A6" w:rsidRPr="008457BF">
              <w:rPr>
                <w:lang w:val="en-US"/>
              </w:rPr>
              <w:t>Hitachi</w:t>
            </w:r>
            <w:r w:rsidR="00A004A6" w:rsidRPr="008457BF">
              <w:t xml:space="preserve"> </w:t>
            </w:r>
            <w:proofErr w:type="spellStart"/>
            <w:r w:rsidR="00A004A6" w:rsidRPr="008457BF">
              <w:rPr>
                <w:lang w:val="en-US"/>
              </w:rPr>
              <w:t>Vantara</w:t>
            </w:r>
            <w:proofErr w:type="spellEnd"/>
            <w:r w:rsidR="00A004A6" w:rsidRPr="008457BF">
              <w:t xml:space="preserve"> и </w:t>
            </w:r>
            <w:r w:rsidR="00A004A6" w:rsidRPr="008457BF">
              <w:rPr>
                <w:lang w:val="en-US"/>
              </w:rPr>
              <w:t>Brocade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A</w:t>
            </w:r>
          </w:p>
        </w:tc>
      </w:tr>
      <w:tr w:rsidR="00780833" w:rsidRPr="008457BF" w:rsidTr="00A62675">
        <w:tc>
          <w:tcPr>
            <w:tcW w:w="9345" w:type="dxa"/>
            <w:gridSpan w:val="3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  <w:b/>
              </w:rPr>
              <w:t>Обновления, исправления, корректировки программного обеспечения</w:t>
            </w:r>
            <w:r w:rsidRPr="008457BF">
              <w:rPr>
                <w:lang w:eastAsia="ru-RU"/>
              </w:rPr>
              <w:t xml:space="preserve"> </w:t>
            </w:r>
          </w:p>
        </w:tc>
      </w:tr>
      <w:tr w:rsidR="00780833" w:rsidRPr="008457BF" w:rsidTr="00A62675">
        <w:tc>
          <w:tcPr>
            <w:tcW w:w="6516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>Предоставить метод процедуры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A</w:t>
            </w:r>
          </w:p>
        </w:tc>
      </w:tr>
      <w:tr w:rsidR="00780833" w:rsidRPr="008457BF" w:rsidTr="00A62675">
        <w:tc>
          <w:tcPr>
            <w:tcW w:w="6516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>Определить время установки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</w:tr>
      <w:tr w:rsidR="00780833" w:rsidRPr="008457BF" w:rsidTr="00A62675">
        <w:tc>
          <w:tcPr>
            <w:tcW w:w="6516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>Установить Программное обеспечения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A</w:t>
            </w:r>
          </w:p>
        </w:tc>
      </w:tr>
      <w:tr w:rsidR="00780833" w:rsidRPr="008457BF" w:rsidTr="00A62675">
        <w:tc>
          <w:tcPr>
            <w:tcW w:w="6516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>Проверить работу установленного программного обеспечения, решить оставаться ли на новом программном обеспечении или откатиться на старое программное обеспечение</w:t>
            </w:r>
            <w:r w:rsidRPr="008457BF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</w:tr>
      <w:tr w:rsidR="00780833" w:rsidRPr="008457BF" w:rsidTr="00A62675">
        <w:tc>
          <w:tcPr>
            <w:tcW w:w="9345" w:type="dxa"/>
            <w:gridSpan w:val="3"/>
            <w:vAlign w:val="center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  <w:b/>
              </w:rPr>
              <w:t>Сервисы для реконфигурации системы и рекомендации</w:t>
            </w:r>
          </w:p>
        </w:tc>
      </w:tr>
      <w:tr w:rsidR="00780833" w:rsidRPr="008457BF" w:rsidTr="00A62675">
        <w:tc>
          <w:tcPr>
            <w:tcW w:w="6516" w:type="dxa"/>
            <w:vAlign w:val="center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>Предоставить технические требования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</w:tr>
      <w:tr w:rsidR="00780833" w:rsidRPr="008457BF" w:rsidTr="00A62675">
        <w:tc>
          <w:tcPr>
            <w:tcW w:w="6516" w:type="dxa"/>
            <w:vAlign w:val="center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>Внедрение технических требований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A</w:t>
            </w:r>
          </w:p>
        </w:tc>
      </w:tr>
      <w:tr w:rsidR="00780833" w:rsidRPr="008457BF" w:rsidTr="00A62675">
        <w:tc>
          <w:tcPr>
            <w:tcW w:w="6516" w:type="dxa"/>
            <w:vAlign w:val="center"/>
          </w:tcPr>
          <w:p w:rsidR="00780833" w:rsidRPr="008457BF" w:rsidRDefault="00780833" w:rsidP="0008583B">
            <w:pPr>
              <w:spacing w:after="100" w:line="259" w:lineRule="auto"/>
              <w:ind w:firstLine="22"/>
              <w:rPr>
                <w:lang w:eastAsia="ru-RU"/>
              </w:rPr>
            </w:pPr>
            <w:r w:rsidRPr="008457BF">
              <w:rPr>
                <w:rFonts w:eastAsiaTheme="minorHAnsi"/>
              </w:rPr>
              <w:t>Предоставить технические рекомендации</w:t>
            </w:r>
          </w:p>
        </w:tc>
        <w:tc>
          <w:tcPr>
            <w:tcW w:w="1559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8457BF" w:rsidRDefault="00780833" w:rsidP="0008583B">
            <w:pPr>
              <w:spacing w:after="100" w:line="259" w:lineRule="auto"/>
              <w:ind w:firstLine="22"/>
              <w:jc w:val="center"/>
              <w:rPr>
                <w:lang w:eastAsia="ru-RU"/>
              </w:rPr>
            </w:pPr>
            <w:r w:rsidRPr="008457BF">
              <w:rPr>
                <w:lang w:eastAsia="ru-RU"/>
              </w:rPr>
              <w:t>I</w:t>
            </w:r>
          </w:p>
        </w:tc>
      </w:tr>
    </w:tbl>
    <w:p w:rsidR="00780833" w:rsidRPr="008457BF" w:rsidRDefault="00780833" w:rsidP="0084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57BF">
        <w:rPr>
          <w:rFonts w:ascii="Times New Roman" w:hAnsi="Times New Roman" w:cs="Times New Roman"/>
          <w:i/>
          <w:sz w:val="20"/>
          <w:szCs w:val="20"/>
        </w:rPr>
        <w:t xml:space="preserve">R (от англ. </w:t>
      </w:r>
      <w:proofErr w:type="spellStart"/>
      <w:r w:rsidRPr="008457BF">
        <w:rPr>
          <w:rFonts w:ascii="Times New Roman" w:hAnsi="Times New Roman" w:cs="Times New Roman"/>
          <w:i/>
          <w:sz w:val="20"/>
          <w:szCs w:val="20"/>
        </w:rPr>
        <w:t>Responsible</w:t>
      </w:r>
      <w:proofErr w:type="spellEnd"/>
      <w:r w:rsidRPr="008457BF">
        <w:rPr>
          <w:rFonts w:ascii="Times New Roman" w:hAnsi="Times New Roman" w:cs="Times New Roman"/>
          <w:i/>
          <w:sz w:val="20"/>
          <w:szCs w:val="20"/>
        </w:rPr>
        <w:t xml:space="preserve">) – непосредственный исполнитель; </w:t>
      </w:r>
    </w:p>
    <w:p w:rsidR="00780833" w:rsidRPr="008457BF" w:rsidRDefault="00780833" w:rsidP="0084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57BF">
        <w:rPr>
          <w:rFonts w:ascii="Times New Roman" w:hAnsi="Times New Roman" w:cs="Times New Roman"/>
          <w:i/>
          <w:sz w:val="20"/>
          <w:szCs w:val="20"/>
        </w:rPr>
        <w:t xml:space="preserve">А (от англ. </w:t>
      </w:r>
      <w:proofErr w:type="spellStart"/>
      <w:r w:rsidRPr="008457BF">
        <w:rPr>
          <w:rFonts w:ascii="Times New Roman" w:hAnsi="Times New Roman" w:cs="Times New Roman"/>
          <w:i/>
          <w:sz w:val="20"/>
          <w:szCs w:val="20"/>
        </w:rPr>
        <w:t>Accountable</w:t>
      </w:r>
      <w:proofErr w:type="spellEnd"/>
      <w:r w:rsidRPr="008457BF">
        <w:rPr>
          <w:rFonts w:ascii="Times New Roman" w:hAnsi="Times New Roman" w:cs="Times New Roman"/>
          <w:i/>
          <w:sz w:val="20"/>
          <w:szCs w:val="20"/>
        </w:rPr>
        <w:t xml:space="preserve">) – ответственное лицо, которое руководит работой исполнителя; </w:t>
      </w:r>
    </w:p>
    <w:p w:rsidR="00780833" w:rsidRPr="008457BF" w:rsidRDefault="00780833" w:rsidP="0084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57BF">
        <w:rPr>
          <w:rFonts w:ascii="Times New Roman" w:hAnsi="Times New Roman" w:cs="Times New Roman"/>
          <w:i/>
          <w:sz w:val="20"/>
          <w:szCs w:val="20"/>
        </w:rPr>
        <w:t xml:space="preserve">С (от англ. </w:t>
      </w:r>
      <w:proofErr w:type="spellStart"/>
      <w:r w:rsidRPr="008457BF">
        <w:rPr>
          <w:rFonts w:ascii="Times New Roman" w:hAnsi="Times New Roman" w:cs="Times New Roman"/>
          <w:i/>
          <w:sz w:val="20"/>
          <w:szCs w:val="20"/>
        </w:rPr>
        <w:t>Consulted</w:t>
      </w:r>
      <w:proofErr w:type="spellEnd"/>
      <w:r w:rsidRPr="008457BF">
        <w:rPr>
          <w:rFonts w:ascii="Times New Roman" w:hAnsi="Times New Roman" w:cs="Times New Roman"/>
          <w:i/>
          <w:sz w:val="20"/>
          <w:szCs w:val="20"/>
        </w:rPr>
        <w:t xml:space="preserve">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:rsidR="00780833" w:rsidRPr="008457BF" w:rsidRDefault="00780833" w:rsidP="00845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457BF">
        <w:rPr>
          <w:rFonts w:ascii="Times New Roman" w:hAnsi="Times New Roman" w:cs="Times New Roman"/>
          <w:i/>
          <w:sz w:val="20"/>
          <w:szCs w:val="20"/>
        </w:rPr>
        <w:t xml:space="preserve">І (от англ. </w:t>
      </w:r>
      <w:proofErr w:type="spellStart"/>
      <w:r w:rsidRPr="008457BF">
        <w:rPr>
          <w:rFonts w:ascii="Times New Roman" w:hAnsi="Times New Roman" w:cs="Times New Roman"/>
          <w:i/>
          <w:sz w:val="20"/>
          <w:szCs w:val="20"/>
        </w:rPr>
        <w:t>Informed</w:t>
      </w:r>
      <w:proofErr w:type="spellEnd"/>
      <w:r w:rsidRPr="008457BF">
        <w:rPr>
          <w:rFonts w:ascii="Times New Roman" w:hAnsi="Times New Roman" w:cs="Times New Roman"/>
          <w:i/>
          <w:sz w:val="20"/>
          <w:szCs w:val="20"/>
        </w:rPr>
        <w:t>) – наблюдатель, информируемое лицо (лицо, которое надлежит уведомлять о ходе (либо результатах) выполнения задачи)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5529"/>
        <w:gridCol w:w="3826"/>
      </w:tblGrid>
      <w:tr w:rsidR="001815FC" w:rsidRPr="00527BEB" w:rsidTr="00E84C1D">
        <w:tc>
          <w:tcPr>
            <w:tcW w:w="5529" w:type="dxa"/>
            <w:shd w:val="clear" w:color="auto" w:fill="auto"/>
          </w:tcPr>
          <w:p w:rsidR="001815FC" w:rsidRDefault="001815FC" w:rsidP="008457BF">
            <w:pPr>
              <w:spacing w:after="0" w:line="240" w:lineRule="auto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Разработано:</w:t>
            </w:r>
          </w:p>
          <w:p w:rsidR="008457BF" w:rsidRPr="00527BEB" w:rsidRDefault="008457BF" w:rsidP="008457BF">
            <w:pPr>
              <w:spacing w:after="0" w:line="240" w:lineRule="auto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</w:p>
          <w:p w:rsidR="001815FC" w:rsidRPr="00527BEB" w:rsidRDefault="001815FC" w:rsidP="008457BF">
            <w:pPr>
              <w:tabs>
                <w:tab w:val="left" w:pos="5387"/>
                <w:tab w:val="left" w:pos="7371"/>
              </w:tabs>
              <w:spacing w:after="0" w:line="240" w:lineRule="auto"/>
              <w:ind w:firstLine="326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Начальник отдела эксплуатации </w:t>
            </w:r>
          </w:p>
          <w:p w:rsidR="001815FC" w:rsidRPr="00527BEB" w:rsidRDefault="001815FC" w:rsidP="008457BF">
            <w:pPr>
              <w:spacing w:after="0" w:line="240" w:lineRule="auto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>ИТ-инфраструктуры ДИТ ТБ</w:t>
            </w:r>
          </w:p>
        </w:tc>
        <w:tc>
          <w:tcPr>
            <w:tcW w:w="3826" w:type="dxa"/>
            <w:shd w:val="clear" w:color="auto" w:fill="auto"/>
          </w:tcPr>
          <w:p w:rsidR="001815FC" w:rsidRPr="00527BEB" w:rsidRDefault="001815FC" w:rsidP="008457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  <w:p w:rsidR="001815FC" w:rsidRPr="00527BEB" w:rsidRDefault="001815FC" w:rsidP="008457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>___________Р.А. Абдульваат</w:t>
            </w:r>
          </w:p>
        </w:tc>
      </w:tr>
      <w:tr w:rsidR="001815FC" w:rsidRPr="00527BEB" w:rsidTr="008457BF">
        <w:trPr>
          <w:trHeight w:val="295"/>
        </w:trPr>
        <w:tc>
          <w:tcPr>
            <w:tcW w:w="5529" w:type="dxa"/>
            <w:shd w:val="clear" w:color="auto" w:fill="auto"/>
          </w:tcPr>
          <w:p w:rsidR="001815FC" w:rsidRPr="00527BEB" w:rsidRDefault="001815FC" w:rsidP="008457BF">
            <w:pPr>
              <w:spacing w:after="0" w:line="240" w:lineRule="auto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Согласовано: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1815FC" w:rsidRPr="00527BEB" w:rsidRDefault="001815FC" w:rsidP="008457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1815FC" w:rsidRPr="00527BEB" w:rsidTr="00E84C1D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:rsidR="001815FC" w:rsidRPr="00527BEB" w:rsidRDefault="001815FC" w:rsidP="008457BF">
            <w:pPr>
              <w:tabs>
                <w:tab w:val="left" w:pos="5387"/>
                <w:tab w:val="left" w:pos="7371"/>
              </w:tabs>
              <w:spacing w:after="0" w:line="240" w:lineRule="auto"/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>Директор по ИТ ДИТ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1815FC" w:rsidRDefault="001815FC" w:rsidP="008457BF">
            <w:pPr>
              <w:tabs>
                <w:tab w:val="left" w:pos="5387"/>
                <w:tab w:val="left" w:pos="737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 w:rsidR="00743D24">
              <w:rPr>
                <w:rFonts w:ascii="Times New Roman" w:hAnsi="Times New Roman"/>
                <w:sz w:val="24"/>
              </w:rPr>
              <w:t>У.А. Мавлянов</w:t>
            </w:r>
          </w:p>
          <w:p w:rsidR="001815FC" w:rsidRPr="00527BEB" w:rsidRDefault="001815FC" w:rsidP="008457BF">
            <w:pPr>
              <w:tabs>
                <w:tab w:val="left" w:pos="5387"/>
                <w:tab w:val="left" w:pos="737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1815FC" w:rsidRPr="00527BEB" w:rsidTr="00E84C1D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:rsidR="001815FC" w:rsidRPr="00527BEB" w:rsidRDefault="001815FC" w:rsidP="008457BF">
            <w:pPr>
              <w:tabs>
                <w:tab w:val="left" w:pos="5387"/>
                <w:tab w:val="left" w:pos="7371"/>
              </w:tabs>
              <w:spacing w:after="0" w:line="240" w:lineRule="auto"/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</w:t>
            </w:r>
            <w:r w:rsidRPr="00527BEB">
              <w:rPr>
                <w:rFonts w:ascii="Times New Roman" w:hAnsi="Times New Roman"/>
                <w:sz w:val="24"/>
              </w:rPr>
              <w:t>ДИТ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1815FC" w:rsidRPr="00527BEB" w:rsidRDefault="001815FC" w:rsidP="008457BF">
            <w:pPr>
              <w:tabs>
                <w:tab w:val="left" w:pos="5387"/>
                <w:tab w:val="left" w:pos="737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>
              <w:rPr>
                <w:rFonts w:ascii="Times New Roman" w:hAnsi="Times New Roman"/>
                <w:sz w:val="24"/>
              </w:rPr>
              <w:t>Е.А. Яцкевич</w:t>
            </w: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815FC" w:rsidRPr="00527BEB" w:rsidTr="00E84C1D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:rsidR="001815FC" w:rsidRPr="00915D83" w:rsidRDefault="001815FC" w:rsidP="008457BF">
            <w:pPr>
              <w:tabs>
                <w:tab w:val="left" w:pos="5387"/>
                <w:tab w:val="left" w:pos="7371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1815FC" w:rsidRPr="00527BEB" w:rsidRDefault="001815FC" w:rsidP="008457BF">
            <w:pPr>
              <w:tabs>
                <w:tab w:val="left" w:pos="5387"/>
                <w:tab w:val="left" w:pos="737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815FC" w:rsidRPr="00527BEB" w:rsidTr="008457BF">
        <w:trPr>
          <w:trHeight w:val="671"/>
        </w:trPr>
        <w:tc>
          <w:tcPr>
            <w:tcW w:w="5529" w:type="dxa"/>
            <w:shd w:val="clear" w:color="auto" w:fill="auto"/>
            <w:vAlign w:val="center"/>
          </w:tcPr>
          <w:p w:rsidR="001815FC" w:rsidRDefault="001815FC" w:rsidP="008457BF">
            <w:pPr>
              <w:tabs>
                <w:tab w:val="left" w:pos="5387"/>
                <w:tab w:val="left" w:pos="7371"/>
              </w:tabs>
              <w:spacing w:after="0" w:line="240" w:lineRule="auto"/>
              <w:ind w:firstLine="326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>управления проектами</w:t>
            </w:r>
          </w:p>
          <w:p w:rsidR="001815FC" w:rsidRPr="00527BEB" w:rsidRDefault="001815FC" w:rsidP="008457BF">
            <w:pPr>
              <w:tabs>
                <w:tab w:val="left" w:pos="5387"/>
                <w:tab w:val="left" w:pos="7371"/>
              </w:tabs>
              <w:spacing w:after="0" w:line="240" w:lineRule="auto"/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ДУП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1815FC" w:rsidRPr="00527BEB" w:rsidRDefault="001815FC" w:rsidP="008457BF">
            <w:pPr>
              <w:tabs>
                <w:tab w:val="left" w:pos="5387"/>
                <w:tab w:val="left" w:pos="737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 w:rsidR="00743D24">
              <w:rPr>
                <w:rFonts w:ascii="Times New Roman" w:hAnsi="Times New Roman"/>
                <w:sz w:val="24"/>
              </w:rPr>
              <w:t>Б.Х. Отабоев</w:t>
            </w: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1815FC" w:rsidRDefault="001815FC" w:rsidP="00845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15FC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98F" w:rsidRDefault="00B4598F">
      <w:pPr>
        <w:spacing w:after="0" w:line="240" w:lineRule="auto"/>
      </w:pPr>
      <w:r>
        <w:separator/>
      </w:r>
    </w:p>
  </w:endnote>
  <w:endnote w:type="continuationSeparator" w:id="0">
    <w:p w:rsidR="00B4598F" w:rsidRDefault="00B4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3163052"/>
      <w:docPartObj>
        <w:docPartGallery w:val="Page Numbers (Bottom of Page)"/>
        <w:docPartUnique/>
      </w:docPartObj>
    </w:sdtPr>
    <w:sdtEndPr/>
    <w:sdtContent>
      <w:p w:rsidR="000F0F32" w:rsidRDefault="000F0F32">
        <w:pPr>
          <w:pStyle w:val="aa"/>
          <w:jc w:val="right"/>
        </w:pPr>
      </w:p>
      <w:p w:rsidR="000F0F32" w:rsidRDefault="000F0F32" w:rsidP="000F0F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47F">
          <w:rPr>
            <w:noProof/>
          </w:rPr>
          <w:t>5</w:t>
        </w:r>
        <w:r>
          <w:fldChar w:fldCharType="end"/>
        </w:r>
      </w:p>
    </w:sdtContent>
  </w:sdt>
  <w:p w:rsidR="0094244D" w:rsidRDefault="0094244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98F" w:rsidRDefault="00B4598F">
      <w:pPr>
        <w:spacing w:after="0" w:line="240" w:lineRule="auto"/>
      </w:pPr>
      <w:r>
        <w:separator/>
      </w:r>
    </w:p>
  </w:footnote>
  <w:footnote w:type="continuationSeparator" w:id="0">
    <w:p w:rsidR="00B4598F" w:rsidRDefault="00B4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44D" w:rsidRDefault="0094244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E41"/>
    <w:multiLevelType w:val="hybridMultilevel"/>
    <w:tmpl w:val="D94E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765"/>
    <w:multiLevelType w:val="hybridMultilevel"/>
    <w:tmpl w:val="B19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112"/>
    <w:multiLevelType w:val="hybridMultilevel"/>
    <w:tmpl w:val="74D8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56A"/>
    <w:multiLevelType w:val="hybridMultilevel"/>
    <w:tmpl w:val="46A6B550"/>
    <w:lvl w:ilvl="0" w:tplc="2304C82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F73E9"/>
    <w:multiLevelType w:val="hybridMultilevel"/>
    <w:tmpl w:val="17C68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DA5CF7"/>
    <w:multiLevelType w:val="hybridMultilevel"/>
    <w:tmpl w:val="928EE312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22186E"/>
    <w:multiLevelType w:val="hybridMultilevel"/>
    <w:tmpl w:val="7BD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3325E"/>
    <w:multiLevelType w:val="hybridMultilevel"/>
    <w:tmpl w:val="1F403B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0D3074"/>
    <w:multiLevelType w:val="hybridMultilevel"/>
    <w:tmpl w:val="06FA0620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D"/>
    <w:rsid w:val="000034F9"/>
    <w:rsid w:val="00004B5D"/>
    <w:rsid w:val="00084241"/>
    <w:rsid w:val="0008583B"/>
    <w:rsid w:val="000A2EEE"/>
    <w:rsid w:val="000F0F32"/>
    <w:rsid w:val="0013024C"/>
    <w:rsid w:val="00164E9C"/>
    <w:rsid w:val="0017229C"/>
    <w:rsid w:val="001815FC"/>
    <w:rsid w:val="00192872"/>
    <w:rsid w:val="001D6C43"/>
    <w:rsid w:val="001F51D6"/>
    <w:rsid w:val="002613ED"/>
    <w:rsid w:val="002B7A4E"/>
    <w:rsid w:val="002D41AD"/>
    <w:rsid w:val="002E2246"/>
    <w:rsid w:val="00334C3E"/>
    <w:rsid w:val="003856C6"/>
    <w:rsid w:val="0038790B"/>
    <w:rsid w:val="003C3808"/>
    <w:rsid w:val="003F19A0"/>
    <w:rsid w:val="00470E83"/>
    <w:rsid w:val="00483DC3"/>
    <w:rsid w:val="00497AEA"/>
    <w:rsid w:val="004C0105"/>
    <w:rsid w:val="004E3ED2"/>
    <w:rsid w:val="00506F18"/>
    <w:rsid w:val="00543737"/>
    <w:rsid w:val="00544929"/>
    <w:rsid w:val="005F1770"/>
    <w:rsid w:val="00653FA4"/>
    <w:rsid w:val="00673F69"/>
    <w:rsid w:val="006B5A21"/>
    <w:rsid w:val="006B7F69"/>
    <w:rsid w:val="00700A41"/>
    <w:rsid w:val="00706691"/>
    <w:rsid w:val="00726347"/>
    <w:rsid w:val="00743D24"/>
    <w:rsid w:val="00754FA5"/>
    <w:rsid w:val="00780833"/>
    <w:rsid w:val="00835B2E"/>
    <w:rsid w:val="008457BF"/>
    <w:rsid w:val="008710D9"/>
    <w:rsid w:val="00871B0D"/>
    <w:rsid w:val="0089085F"/>
    <w:rsid w:val="008A6FAB"/>
    <w:rsid w:val="008D2369"/>
    <w:rsid w:val="00923571"/>
    <w:rsid w:val="00933989"/>
    <w:rsid w:val="00937764"/>
    <w:rsid w:val="0094244D"/>
    <w:rsid w:val="0098037B"/>
    <w:rsid w:val="00980C49"/>
    <w:rsid w:val="009D3D3F"/>
    <w:rsid w:val="00A004A6"/>
    <w:rsid w:val="00A17C85"/>
    <w:rsid w:val="00A2747F"/>
    <w:rsid w:val="00A64313"/>
    <w:rsid w:val="00AC20FE"/>
    <w:rsid w:val="00B4598F"/>
    <w:rsid w:val="00BB6B75"/>
    <w:rsid w:val="00BF53CB"/>
    <w:rsid w:val="00C513E3"/>
    <w:rsid w:val="00D41972"/>
    <w:rsid w:val="00D94F95"/>
    <w:rsid w:val="00DA63FE"/>
    <w:rsid w:val="00DC1B6B"/>
    <w:rsid w:val="00DC2237"/>
    <w:rsid w:val="00E921F8"/>
    <w:rsid w:val="00F64A98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79E06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"/>
    <w:link w:val="a5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08583B"/>
    <w:pPr>
      <w:tabs>
        <w:tab w:val="left" w:pos="426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">
    <w:name w:val="Body Text"/>
    <w:basedOn w:val="a"/>
    <w:link w:val="af0"/>
    <w:qFormat/>
    <w:rsid w:val="00D94F95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f0">
    <w:name w:val="Основной текст Знак"/>
    <w:basedOn w:val="a0"/>
    <w:link w:val="af"/>
    <w:rsid w:val="00D94F95"/>
    <w:rPr>
      <w:color w:val="000000" w:themeColor="text1"/>
      <w:lang w:val="en-GB"/>
    </w:rPr>
  </w:style>
  <w:style w:type="character" w:customStyle="1" w:styleId="a5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4"/>
    <w:uiPriority w:val="34"/>
    <w:rsid w:val="006B7F69"/>
    <w:rPr>
      <w:lang w:val="ru-RU"/>
    </w:rPr>
  </w:style>
  <w:style w:type="table" w:customStyle="1" w:styleId="TableGrid">
    <w:name w:val="TableGrid"/>
    <w:rsid w:val="002D41A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ynqvb">
    <w:name w:val="rynqvb"/>
    <w:basedOn w:val="a0"/>
    <w:rsid w:val="002E2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nowledge.hitachivantara.com/Support_Information/More_Info/Product_Life-Cycle_Matr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2B91D-01E3-413A-875F-CC6B897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3103</Words>
  <Characters>17692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dc:description/>
  <cp:lastModifiedBy>Жукова Тамара Александровна</cp:lastModifiedBy>
  <cp:revision>5</cp:revision>
  <cp:lastPrinted>2024-02-15T06:42:00Z</cp:lastPrinted>
  <dcterms:created xsi:type="dcterms:W3CDTF">2024-10-31T08:31:00Z</dcterms:created>
  <dcterms:modified xsi:type="dcterms:W3CDTF">2024-11-06T11:00:00Z</dcterms:modified>
</cp:coreProperties>
</file>