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4D" w:rsidRPr="00DD4FA8" w:rsidRDefault="008A302D" w:rsidP="001D6938">
      <w:pPr>
        <w:pStyle w:val="2"/>
        <w:spacing w:before="0" w:after="100"/>
        <w:jc w:val="both"/>
        <w:rPr>
          <w:rFonts w:ascii="Times New Roman" w:hAnsi="Times New Roman" w:cs="Times New Roman"/>
          <w:b/>
          <w:snapToGrid w:val="0"/>
          <w:color w:val="auto"/>
          <w:sz w:val="24"/>
          <w:szCs w:val="24"/>
        </w:rPr>
      </w:pPr>
      <w:bookmarkStart w:id="0" w:name="_Toc103958093"/>
      <w:bookmarkStart w:id="1" w:name="_Toc155196363"/>
      <w:r w:rsidRPr="00DD4FA8">
        <w:rPr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-945515</wp:posOffset>
            </wp:positionH>
            <wp:positionV relativeFrom="paragraph">
              <wp:posOffset>-628650</wp:posOffset>
            </wp:positionV>
            <wp:extent cx="7560310" cy="1619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="008710D9" w:rsidRPr="00DD4FA8">
        <w:rPr>
          <w:rFonts w:ascii="Times New Roman" w:hAnsi="Times New Roman" w:cs="Times New Roman"/>
          <w:b/>
          <w:snapToGrid w:val="0"/>
          <w:color w:val="auto"/>
          <w:sz w:val="24"/>
          <w:szCs w:val="24"/>
        </w:rPr>
        <w:t xml:space="preserve">                                                               </w:t>
      </w:r>
    </w:p>
    <w:p w:rsidR="005D0C1F" w:rsidRPr="00DD4FA8" w:rsidRDefault="005D0C1F" w:rsidP="005D0C1F"/>
    <w:p w:rsidR="005D0C1F" w:rsidRPr="00DD4FA8" w:rsidRDefault="005D0C1F" w:rsidP="005D0C1F"/>
    <w:tbl>
      <w:tblPr>
        <w:tblStyle w:val="12"/>
        <w:tblW w:w="563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120"/>
      </w:tblGrid>
      <w:tr w:rsidR="00DD4FA8" w:rsidRPr="00DD4FA8" w:rsidTr="00570982">
        <w:trPr>
          <w:trHeight w:val="397"/>
          <w:jc w:val="right"/>
        </w:trPr>
        <w:tc>
          <w:tcPr>
            <w:tcW w:w="5637" w:type="dxa"/>
            <w:gridSpan w:val="2"/>
            <w:vAlign w:val="center"/>
          </w:tcPr>
          <w:p w:rsidR="00DD4FA8" w:rsidRPr="00DD4FA8" w:rsidRDefault="00DD4FA8" w:rsidP="006C4EF9">
            <w:pPr>
              <w:tabs>
                <w:tab w:val="left" w:pos="4536"/>
              </w:tabs>
              <w:spacing w:line="259" w:lineRule="auto"/>
              <w:ind w:left="-215"/>
              <w:jc w:val="right"/>
              <w:rPr>
                <w:b/>
                <w:snapToGrid w:val="0"/>
                <w:sz w:val="24"/>
                <w:szCs w:val="24"/>
              </w:rPr>
            </w:pPr>
          </w:p>
          <w:p w:rsidR="006C4EF9" w:rsidRPr="00DD4FA8" w:rsidRDefault="006C4EF9" w:rsidP="006C4EF9">
            <w:pPr>
              <w:tabs>
                <w:tab w:val="left" w:pos="4536"/>
              </w:tabs>
              <w:spacing w:line="259" w:lineRule="auto"/>
              <w:ind w:left="-215"/>
              <w:jc w:val="right"/>
              <w:rPr>
                <w:b/>
                <w:sz w:val="24"/>
                <w:szCs w:val="24"/>
                <w:lang w:eastAsia="ru-RU"/>
              </w:rPr>
            </w:pPr>
            <w:r w:rsidRPr="00DD4FA8">
              <w:rPr>
                <w:b/>
                <w:snapToGrid w:val="0"/>
                <w:sz w:val="24"/>
                <w:szCs w:val="24"/>
              </w:rPr>
              <w:t xml:space="preserve">                                                           </w:t>
            </w:r>
          </w:p>
          <w:p w:rsidR="006C4EF9" w:rsidRPr="00DD4FA8" w:rsidRDefault="00DD4FA8" w:rsidP="006C4EF9">
            <w:pPr>
              <w:tabs>
                <w:tab w:val="left" w:pos="4536"/>
              </w:tabs>
              <w:spacing w:line="259" w:lineRule="auto"/>
              <w:ind w:left="-215"/>
              <w:jc w:val="right"/>
              <w:rPr>
                <w:b/>
                <w:sz w:val="24"/>
                <w:szCs w:val="24"/>
                <w:lang w:eastAsia="ru-RU"/>
              </w:rPr>
            </w:pPr>
            <w:r w:rsidRPr="00DD4FA8">
              <w:rPr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DD4FA8" w:rsidRPr="00DD4FA8" w:rsidTr="00570982">
        <w:trPr>
          <w:trHeight w:val="397"/>
          <w:jc w:val="right"/>
        </w:trPr>
        <w:tc>
          <w:tcPr>
            <w:tcW w:w="5637" w:type="dxa"/>
            <w:gridSpan w:val="2"/>
            <w:vAlign w:val="center"/>
          </w:tcPr>
          <w:p w:rsidR="008A302D" w:rsidRPr="00DD4FA8" w:rsidRDefault="008A302D" w:rsidP="008A302D">
            <w:pPr>
              <w:spacing w:line="264" w:lineRule="auto"/>
              <w:jc w:val="right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</w:rPr>
              <w:t xml:space="preserve">Заместитель Генерального директора </w:t>
            </w:r>
          </w:p>
          <w:p w:rsidR="008A302D" w:rsidRPr="00DD4FA8" w:rsidRDefault="008A302D" w:rsidP="008A302D">
            <w:pPr>
              <w:spacing w:line="264" w:lineRule="auto"/>
              <w:jc w:val="right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</w:rPr>
              <w:t xml:space="preserve">по технике и ИТ </w:t>
            </w:r>
          </w:p>
          <w:p w:rsidR="006C4EF9" w:rsidRPr="00DD4FA8" w:rsidRDefault="006C4EF9" w:rsidP="008A302D">
            <w:pPr>
              <w:spacing w:line="264" w:lineRule="auto"/>
              <w:jc w:val="right"/>
              <w:rPr>
                <w:sz w:val="24"/>
                <w:szCs w:val="24"/>
                <w:lang w:val="en-US"/>
              </w:rPr>
            </w:pPr>
            <w:r w:rsidRPr="00DD4FA8">
              <w:rPr>
                <w:sz w:val="24"/>
                <w:szCs w:val="24"/>
              </w:rPr>
              <w:t xml:space="preserve"> ООО</w:t>
            </w:r>
            <w:r w:rsidRPr="00DD4FA8">
              <w:rPr>
                <w:sz w:val="24"/>
                <w:szCs w:val="24"/>
                <w:lang w:val="en-US"/>
              </w:rPr>
              <w:t xml:space="preserve"> «UNIVERSAL MOBILE SYSTEMS»</w:t>
            </w:r>
          </w:p>
          <w:p w:rsidR="006C4EF9" w:rsidRPr="00DD4FA8" w:rsidRDefault="006C4EF9" w:rsidP="006C4EF9">
            <w:pPr>
              <w:tabs>
                <w:tab w:val="left" w:pos="5220"/>
              </w:tabs>
              <w:ind w:left="-215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DD4FA8" w:rsidRPr="00DD4FA8" w:rsidTr="00570982">
        <w:trPr>
          <w:trHeight w:val="397"/>
          <w:jc w:val="right"/>
        </w:trPr>
        <w:tc>
          <w:tcPr>
            <w:tcW w:w="5637" w:type="dxa"/>
            <w:gridSpan w:val="2"/>
            <w:vAlign w:val="center"/>
          </w:tcPr>
          <w:p w:rsidR="006C4EF9" w:rsidRPr="00DD4FA8" w:rsidRDefault="006C4EF9" w:rsidP="006C4EF9">
            <w:pPr>
              <w:ind w:left="-215"/>
              <w:jc w:val="right"/>
              <w:rPr>
                <w:sz w:val="24"/>
                <w:szCs w:val="24"/>
                <w:lang w:eastAsia="ru-RU"/>
              </w:rPr>
            </w:pPr>
            <w:r w:rsidRPr="00DD4FA8">
              <w:rPr>
                <w:sz w:val="24"/>
                <w:szCs w:val="24"/>
                <w:lang w:eastAsia="ru-RU"/>
              </w:rPr>
              <w:t xml:space="preserve">_________________ </w:t>
            </w:r>
            <w:r w:rsidR="008A302D" w:rsidRPr="00DD4FA8">
              <w:rPr>
                <w:sz w:val="24"/>
                <w:szCs w:val="24"/>
              </w:rPr>
              <w:t>А.Р. Абдурахманов</w:t>
            </w:r>
          </w:p>
        </w:tc>
      </w:tr>
      <w:tr w:rsidR="00DD4FA8" w:rsidRPr="00DD4FA8" w:rsidTr="00570982">
        <w:trPr>
          <w:trHeight w:val="397"/>
          <w:jc w:val="right"/>
        </w:trPr>
        <w:tc>
          <w:tcPr>
            <w:tcW w:w="2517" w:type="dxa"/>
          </w:tcPr>
          <w:p w:rsidR="006C4EF9" w:rsidRPr="00DD4FA8" w:rsidRDefault="006C4EF9" w:rsidP="006C4EF9">
            <w:pPr>
              <w:spacing w:line="259" w:lineRule="auto"/>
              <w:ind w:left="-215"/>
              <w:jc w:val="right"/>
              <w:rPr>
                <w:sz w:val="24"/>
                <w:szCs w:val="24"/>
                <w:lang w:val="en-US" w:eastAsia="ru-RU"/>
              </w:rPr>
            </w:pPr>
            <w:r w:rsidRPr="00DD4FA8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20" w:type="dxa"/>
          </w:tcPr>
          <w:p w:rsidR="006C4EF9" w:rsidRPr="00DD4FA8" w:rsidRDefault="006C4EF9" w:rsidP="006C4EF9">
            <w:pPr>
              <w:spacing w:line="259" w:lineRule="auto"/>
              <w:ind w:left="-215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6C4EF9" w:rsidRPr="00DD4FA8" w:rsidTr="00570982">
        <w:trPr>
          <w:trHeight w:val="397"/>
          <w:jc w:val="right"/>
        </w:trPr>
        <w:tc>
          <w:tcPr>
            <w:tcW w:w="5637" w:type="dxa"/>
            <w:gridSpan w:val="2"/>
          </w:tcPr>
          <w:p w:rsidR="006C4EF9" w:rsidRPr="00DD4FA8" w:rsidRDefault="006C4EF9" w:rsidP="006C4EF9">
            <w:pPr>
              <w:spacing w:line="259" w:lineRule="auto"/>
              <w:ind w:left="-215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DD4FA8">
              <w:rPr>
                <w:sz w:val="24"/>
                <w:szCs w:val="24"/>
                <w:lang w:eastAsia="ru-RU"/>
              </w:rPr>
              <w:t>«___»</w:t>
            </w:r>
            <w:r w:rsidRPr="00DD4FA8">
              <w:rPr>
                <w:sz w:val="24"/>
                <w:szCs w:val="24"/>
                <w:lang w:val="en-US" w:eastAsia="ru-RU"/>
              </w:rPr>
              <w:t>______</w:t>
            </w:r>
            <w:r w:rsidRPr="00DD4FA8">
              <w:rPr>
                <w:sz w:val="24"/>
                <w:szCs w:val="24"/>
                <w:lang w:eastAsia="ru-RU"/>
              </w:rPr>
              <w:t>_</w:t>
            </w:r>
            <w:r w:rsidRPr="00DD4FA8">
              <w:rPr>
                <w:sz w:val="24"/>
                <w:szCs w:val="24"/>
                <w:lang w:val="en-US" w:eastAsia="ru-RU"/>
              </w:rPr>
              <w:t>______</w:t>
            </w:r>
            <w:r w:rsidRPr="00DD4FA8">
              <w:rPr>
                <w:sz w:val="24"/>
                <w:szCs w:val="24"/>
                <w:lang w:eastAsia="ru-RU"/>
              </w:rPr>
              <w:t>20</w:t>
            </w:r>
            <w:r w:rsidRPr="00DD4FA8">
              <w:rPr>
                <w:sz w:val="24"/>
                <w:szCs w:val="24"/>
                <w:lang w:val="en-US" w:eastAsia="ru-RU"/>
              </w:rPr>
              <w:t>2</w:t>
            </w:r>
            <w:r w:rsidR="002E2CEE">
              <w:rPr>
                <w:sz w:val="24"/>
                <w:szCs w:val="24"/>
                <w:lang w:eastAsia="ru-RU"/>
              </w:rPr>
              <w:t>4</w:t>
            </w:r>
            <w:r w:rsidRPr="00DD4FA8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C4EF9" w:rsidRPr="00DD4FA8" w:rsidRDefault="006C4EF9" w:rsidP="006C4E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4D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BDA" w:rsidRDefault="000E7BDA" w:rsidP="001D693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BDA" w:rsidRPr="00DD4FA8" w:rsidRDefault="000E7BDA" w:rsidP="001D693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BDA" w:rsidRPr="000E7BDA" w:rsidRDefault="000E7BDA" w:rsidP="000E7BD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7BDA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ТЕХНИЧЕСКОЕ ЗАДАНИЕ</w:t>
      </w:r>
      <w:r w:rsidRPr="000E7BD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 на оказание услуг по активации технической поддержки</w:t>
      </w:r>
    </w:p>
    <w:p w:rsidR="000E7BDA" w:rsidRPr="000E7BDA" w:rsidRDefault="000E7BDA" w:rsidP="000E7BD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7B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серверного оборудования </w:t>
      </w:r>
      <w:proofErr w:type="spellStart"/>
      <w:r w:rsidRPr="000E7BDA">
        <w:rPr>
          <w:rFonts w:ascii="Times New Roman" w:hAnsi="Times New Roman" w:cs="Times New Roman"/>
          <w:b/>
          <w:sz w:val="24"/>
          <w:szCs w:val="24"/>
          <w:lang w:eastAsia="ru-RU"/>
        </w:rPr>
        <w:t>Oracle</w:t>
      </w:r>
      <w:proofErr w:type="spellEnd"/>
      <w:r w:rsidRPr="000E7B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E7BDA">
        <w:rPr>
          <w:rFonts w:ascii="Times New Roman" w:hAnsi="Times New Roman" w:cs="Times New Roman"/>
          <w:b/>
          <w:sz w:val="24"/>
          <w:szCs w:val="24"/>
          <w:lang w:val="en-US" w:eastAsia="ru-RU"/>
        </w:rPr>
        <w:t>Exadata</w:t>
      </w:r>
      <w:proofErr w:type="spellEnd"/>
      <w:r w:rsidRPr="000E7B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7BDA"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 w:rsidRPr="000E7BDA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0E7BDA">
        <w:rPr>
          <w:rFonts w:ascii="Times New Roman" w:hAnsi="Times New Roman" w:cs="Times New Roman"/>
          <w:b/>
          <w:sz w:val="24"/>
          <w:szCs w:val="24"/>
          <w:lang w:val="en-US" w:eastAsia="ru-RU"/>
        </w:rPr>
        <w:t>M</w:t>
      </w:r>
      <w:r w:rsidRPr="000E7BDA">
        <w:rPr>
          <w:rFonts w:ascii="Times New Roman" w:hAnsi="Times New Roman" w:cs="Times New Roman"/>
          <w:b/>
          <w:sz w:val="24"/>
          <w:szCs w:val="24"/>
          <w:lang w:eastAsia="ru-RU"/>
        </w:rPr>
        <w:t>-2</w:t>
      </w:r>
    </w:p>
    <w:p w:rsidR="000E7BDA" w:rsidRDefault="000E7BDA" w:rsidP="000E7BD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для нужд ООО «UMS»</w:t>
      </w:r>
    </w:p>
    <w:p w:rsidR="0094244D" w:rsidRPr="00805CE2" w:rsidRDefault="000E7BDA" w:rsidP="000E7BDA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7B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(Общество с ограниченной ответственностью </w:t>
      </w:r>
      <w:r w:rsidRPr="00805CE2">
        <w:rPr>
          <w:rFonts w:ascii="Times New Roman" w:hAnsi="Times New Roman" w:cs="Times New Roman"/>
          <w:b/>
          <w:sz w:val="24"/>
          <w:szCs w:val="24"/>
          <w:lang w:val="en-US" w:eastAsia="ru-RU"/>
        </w:rPr>
        <w:t>«</w:t>
      </w:r>
      <w:r w:rsidRPr="000E7BDA">
        <w:rPr>
          <w:rFonts w:ascii="Times New Roman" w:hAnsi="Times New Roman" w:cs="Times New Roman"/>
          <w:b/>
          <w:sz w:val="24"/>
          <w:szCs w:val="24"/>
          <w:lang w:val="en-US" w:eastAsia="ru-RU"/>
        </w:rPr>
        <w:t>Universal</w:t>
      </w:r>
      <w:r w:rsidRPr="00805CE2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0E7BDA">
        <w:rPr>
          <w:rFonts w:ascii="Times New Roman" w:hAnsi="Times New Roman" w:cs="Times New Roman"/>
          <w:b/>
          <w:sz w:val="24"/>
          <w:szCs w:val="24"/>
          <w:lang w:val="en-US" w:eastAsia="ru-RU"/>
        </w:rPr>
        <w:t>Mobile</w:t>
      </w:r>
      <w:r w:rsidRPr="00805CE2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0E7BDA">
        <w:rPr>
          <w:rFonts w:ascii="Times New Roman" w:hAnsi="Times New Roman" w:cs="Times New Roman"/>
          <w:b/>
          <w:sz w:val="24"/>
          <w:szCs w:val="24"/>
          <w:lang w:val="en-US" w:eastAsia="ru-RU"/>
        </w:rPr>
        <w:t>Systems</w:t>
      </w:r>
      <w:r w:rsidRPr="00805CE2">
        <w:rPr>
          <w:rFonts w:ascii="Times New Roman" w:hAnsi="Times New Roman" w:cs="Times New Roman"/>
          <w:b/>
          <w:sz w:val="24"/>
          <w:szCs w:val="24"/>
          <w:lang w:val="en-US" w:eastAsia="ru-RU"/>
        </w:rPr>
        <w:t>»)</w:t>
      </w:r>
    </w:p>
    <w:p w:rsidR="0094244D" w:rsidRPr="00805CE2" w:rsidRDefault="0094244D" w:rsidP="006C4E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44D" w:rsidRPr="00805CE2" w:rsidRDefault="0094244D" w:rsidP="006C4E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44D" w:rsidRPr="00805CE2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44D" w:rsidRPr="00805CE2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44D" w:rsidRPr="00805CE2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44D" w:rsidRPr="00805CE2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244D" w:rsidRPr="00805CE2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244D" w:rsidRPr="00805CE2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C43" w:rsidRPr="00805CE2" w:rsidRDefault="001D6C4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C43" w:rsidRPr="00805CE2" w:rsidRDefault="001D6C4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BDA" w:rsidRPr="00805CE2" w:rsidRDefault="000E7BDA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C43" w:rsidRPr="00805CE2" w:rsidRDefault="001D6C4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244D" w:rsidRPr="00805CE2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244D" w:rsidRPr="00805CE2" w:rsidRDefault="00DD4FA8" w:rsidP="001D6938">
      <w:pPr>
        <w:spacing w:after="1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4FA8">
        <w:rPr>
          <w:rFonts w:ascii="Times New Roman" w:hAnsi="Times New Roman" w:cs="Times New Roman"/>
          <w:sz w:val="24"/>
          <w:szCs w:val="24"/>
        </w:rPr>
        <w:t>г</w:t>
      </w:r>
      <w:r w:rsidRPr="00805C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10D9" w:rsidRPr="00805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0D9" w:rsidRPr="00DD4FA8">
        <w:rPr>
          <w:rFonts w:ascii="Times New Roman" w:hAnsi="Times New Roman" w:cs="Times New Roman"/>
          <w:sz w:val="24"/>
          <w:szCs w:val="24"/>
        </w:rPr>
        <w:t>Ташкент</w:t>
      </w:r>
    </w:p>
    <w:p w:rsidR="0094244D" w:rsidRPr="00805CE2" w:rsidRDefault="008710D9" w:rsidP="001D6938">
      <w:pPr>
        <w:spacing w:after="1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05CE2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2E2CEE" w:rsidRPr="00805CE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05C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FA8">
        <w:rPr>
          <w:rFonts w:ascii="Times New Roman" w:hAnsi="Times New Roman" w:cs="Times New Roman"/>
          <w:sz w:val="24"/>
          <w:szCs w:val="24"/>
        </w:rPr>
        <w:t>год</w:t>
      </w:r>
      <w:r w:rsidRPr="00805CE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id w:val="141535423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94244D" w:rsidRPr="00377375" w:rsidRDefault="008710D9" w:rsidP="001D6938">
          <w:pPr>
            <w:pStyle w:val="a6"/>
            <w:spacing w:before="0" w:after="100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  <w:lang w:val="ru-RU"/>
            </w:rPr>
          </w:pPr>
          <w:r w:rsidRPr="00377375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ru-RU"/>
            </w:rPr>
            <w:t>Оглавление</w:t>
          </w:r>
        </w:p>
        <w:p w:rsidR="00377375" w:rsidRDefault="00470885">
          <w:pPr>
            <w:pStyle w:val="21"/>
            <w:tabs>
              <w:tab w:val="right" w:leader="dot" w:pos="9345"/>
            </w:tabs>
            <w:rPr>
              <w:noProof/>
            </w:rPr>
          </w:pPr>
          <w:r w:rsidRPr="000E7BD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r w:rsidR="008710D9" w:rsidRPr="00DD4FA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="008710D9" w:rsidRPr="00DD4FA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="008710D9" w:rsidRPr="00DD4FA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</w:p>
        <w:p w:rsidR="00377375" w:rsidRPr="00377375" w:rsidRDefault="0016318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5196364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1.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Общие сведения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_Toc155196364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3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65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1.1.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Наименование оказываемых услуг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_Toc155196365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3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66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1.2.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Основание и цель использования оказываемых услуг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_Toc155196366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3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67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1.3.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Перечень услуг (SLA)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_Toc155196367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3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68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2.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Область применения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_Toc155196368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6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69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3.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Общие требования к участнику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_Toc155196369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6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70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4.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Сроки оказания услуг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_Toc155196370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6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71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5.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Требования к безопасности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_Toc155196371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6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72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6.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Требования по правилам сдачи и приёмки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_Toc155196372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7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73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7.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Требования к объёму и/или сроку предоставления гарантий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_Toc155196373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7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74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8.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Процедура передачи исключительных прав и иных документов на объект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_Toc155196374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7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75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9.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Требования по техническому обучению персонала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_Toc155196375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7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76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10.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Дополнительные требования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_Toc155196376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8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77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11.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Перечень принятых сокращений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_Toc155196377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8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78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12.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Перечень приложений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_Toc155196378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8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377375" w:rsidRPr="00377375" w:rsidRDefault="0016318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196379" w:history="1"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13.</w:t>
            </w:r>
            <w:r w:rsidR="00377375" w:rsidRPr="00377375">
              <w:rPr>
                <w:rFonts w:eastAsiaTheme="minorEastAsia"/>
                <w:noProof/>
                <w:lang w:eastAsia="ru-RU"/>
              </w:rPr>
              <w:tab/>
            </w:r>
            <w:r w:rsidR="00377375" w:rsidRPr="00377375">
              <w:rPr>
                <w:rStyle w:val="a7"/>
                <w:rFonts w:ascii="Times New Roman" w:hAnsi="Times New Roman" w:cs="Times New Roman"/>
                <w:noProof/>
              </w:rPr>
              <w:t>Матрица распределения ответственности при оказании Услуг</w:t>
            </w:r>
            <w:r w:rsidR="00377375" w:rsidRPr="00377375">
              <w:rPr>
                <w:noProof/>
                <w:webHidden/>
              </w:rPr>
              <w:tab/>
            </w:r>
            <w:r w:rsidR="00377375" w:rsidRPr="00377375">
              <w:rPr>
                <w:noProof/>
                <w:webHidden/>
              </w:rPr>
              <w:fldChar w:fldCharType="begin"/>
            </w:r>
            <w:r w:rsidR="00377375" w:rsidRPr="00377375">
              <w:rPr>
                <w:noProof/>
                <w:webHidden/>
              </w:rPr>
              <w:instrText xml:space="preserve"> PAGEREF _Toc155196379 \h </w:instrText>
            </w:r>
            <w:r w:rsidR="00377375" w:rsidRPr="00377375">
              <w:rPr>
                <w:noProof/>
                <w:webHidden/>
              </w:rPr>
            </w:r>
            <w:r w:rsidR="00377375" w:rsidRPr="00377375">
              <w:rPr>
                <w:noProof/>
                <w:webHidden/>
              </w:rPr>
              <w:fldChar w:fldCharType="separate"/>
            </w:r>
            <w:r w:rsidR="00F6281F">
              <w:rPr>
                <w:noProof/>
                <w:webHidden/>
              </w:rPr>
              <w:t>8</w:t>
            </w:r>
            <w:r w:rsidR="00377375" w:rsidRPr="00377375">
              <w:rPr>
                <w:noProof/>
                <w:webHidden/>
              </w:rPr>
              <w:fldChar w:fldCharType="end"/>
            </w:r>
          </w:hyperlink>
        </w:p>
        <w:p w:rsidR="0094244D" w:rsidRPr="00DD4FA8" w:rsidRDefault="008710D9" w:rsidP="001D6938">
          <w:pPr>
            <w:spacing w:after="10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D4FA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2E2CEE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115AEE" w:rsidRDefault="008710D9" w:rsidP="001D6938">
      <w:pPr>
        <w:pStyle w:val="1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55196364"/>
      <w:r w:rsidRPr="00115AEE">
        <w:rPr>
          <w:rFonts w:ascii="Times New Roman" w:hAnsi="Times New Roman" w:cs="Times New Roman"/>
          <w:b/>
          <w:color w:val="auto"/>
          <w:sz w:val="24"/>
          <w:szCs w:val="24"/>
        </w:rPr>
        <w:t>Общие сведения</w:t>
      </w:r>
      <w:bookmarkEnd w:id="2"/>
      <w:r w:rsidRPr="00115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4244D" w:rsidRPr="00115AEE" w:rsidRDefault="000A2EEE" w:rsidP="009A0FF2">
      <w:pPr>
        <w:pStyle w:val="2"/>
        <w:numPr>
          <w:ilvl w:val="1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55196365"/>
      <w:r w:rsidRPr="00115AEE">
        <w:rPr>
          <w:rFonts w:ascii="Times New Roman" w:hAnsi="Times New Roman" w:cs="Times New Roman"/>
          <w:b/>
          <w:color w:val="auto"/>
          <w:sz w:val="24"/>
          <w:szCs w:val="24"/>
        </w:rPr>
        <w:t>Наименование оказываемых</w:t>
      </w:r>
      <w:r w:rsidR="008710D9" w:rsidRPr="00115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услуг</w:t>
      </w:r>
      <w:bookmarkEnd w:id="3"/>
    </w:p>
    <w:p w:rsidR="001D6C43" w:rsidRPr="00DD4FA8" w:rsidRDefault="001D6C43" w:rsidP="00115AEE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Оказание услуг по технической поддержке</w:t>
      </w:r>
      <w:r w:rsidR="00483DC3" w:rsidRPr="00DD4FA8">
        <w:rPr>
          <w:rFonts w:ascii="Times New Roman" w:hAnsi="Times New Roman" w:cs="Times New Roman"/>
          <w:sz w:val="24"/>
          <w:szCs w:val="24"/>
        </w:rPr>
        <w:t xml:space="preserve"> </w:t>
      </w:r>
      <w:r w:rsidR="0093693B" w:rsidRPr="00DD4FA8">
        <w:rPr>
          <w:rFonts w:ascii="Times New Roman" w:hAnsi="Times New Roman" w:cs="Times New Roman"/>
          <w:sz w:val="24"/>
          <w:szCs w:val="24"/>
        </w:rPr>
        <w:t xml:space="preserve">серверного </w:t>
      </w:r>
      <w:r w:rsidRPr="00DD4FA8">
        <w:rPr>
          <w:rFonts w:ascii="Times New Roman" w:hAnsi="Times New Roman" w:cs="Times New Roman"/>
          <w:sz w:val="24"/>
          <w:szCs w:val="24"/>
        </w:rPr>
        <w:t>оборудования</w:t>
      </w:r>
      <w:r w:rsidR="00EB106E" w:rsidRPr="00DD4FA8">
        <w:rPr>
          <w:rFonts w:ascii="Times New Roman" w:hAnsi="Times New Roman" w:cs="Times New Roman"/>
          <w:sz w:val="24"/>
          <w:szCs w:val="24"/>
        </w:rPr>
        <w:t xml:space="preserve"> </w:t>
      </w:r>
      <w:r w:rsidR="00483DC3" w:rsidRPr="00DD4FA8">
        <w:rPr>
          <w:rFonts w:ascii="Times New Roman" w:hAnsi="Times New Roman" w:cs="Times New Roman"/>
          <w:sz w:val="24"/>
          <w:szCs w:val="24"/>
        </w:rPr>
        <w:t>(далее – Оборудование) п</w:t>
      </w:r>
      <w:r w:rsidRPr="00DD4FA8">
        <w:rPr>
          <w:rFonts w:ascii="Times New Roman" w:hAnsi="Times New Roman" w:cs="Times New Roman"/>
          <w:sz w:val="24"/>
          <w:szCs w:val="24"/>
        </w:rPr>
        <w:t xml:space="preserve">роизводителя компании </w:t>
      </w:r>
      <w:r w:rsidR="0093693B" w:rsidRPr="00DD4FA8">
        <w:rPr>
          <w:rFonts w:ascii="Times New Roman" w:hAnsi="Times New Roman" w:cs="Times New Roman"/>
          <w:sz w:val="24"/>
          <w:szCs w:val="24"/>
          <w:lang w:val="en-US"/>
        </w:rPr>
        <w:t>Oracle</w:t>
      </w:r>
      <w:r w:rsidR="00483DC3" w:rsidRPr="00DD4FA8">
        <w:rPr>
          <w:rFonts w:ascii="Times New Roman" w:hAnsi="Times New Roman" w:cs="Times New Roman"/>
          <w:sz w:val="24"/>
          <w:szCs w:val="24"/>
        </w:rPr>
        <w:t>,</w:t>
      </w:r>
      <w:r w:rsidRPr="00DD4FA8">
        <w:rPr>
          <w:rFonts w:ascii="Times New Roman" w:hAnsi="Times New Roman" w:cs="Times New Roman"/>
          <w:sz w:val="24"/>
          <w:szCs w:val="24"/>
        </w:rPr>
        <w:t xml:space="preserve"> установле</w:t>
      </w:r>
      <w:r w:rsidR="000E7BDA">
        <w:rPr>
          <w:rFonts w:ascii="Times New Roman" w:hAnsi="Times New Roman" w:cs="Times New Roman"/>
          <w:sz w:val="24"/>
          <w:szCs w:val="24"/>
        </w:rPr>
        <w:t>нного на технологической площадке</w:t>
      </w:r>
      <w:r w:rsidRPr="00DD4FA8">
        <w:rPr>
          <w:rFonts w:ascii="Times New Roman" w:hAnsi="Times New Roman" w:cs="Times New Roman"/>
          <w:sz w:val="24"/>
          <w:szCs w:val="24"/>
        </w:rPr>
        <w:t xml:space="preserve"> ООО «</w:t>
      </w:r>
      <w:r w:rsidR="0093693B" w:rsidRPr="00DD4FA8">
        <w:rPr>
          <w:rFonts w:ascii="Times New Roman" w:hAnsi="Times New Roman"/>
          <w:sz w:val="24"/>
          <w:szCs w:val="24"/>
          <w:lang w:val="en-US"/>
        </w:rPr>
        <w:t>Universal</w:t>
      </w:r>
      <w:r w:rsidR="0093693B" w:rsidRPr="00DD4FA8">
        <w:rPr>
          <w:rFonts w:ascii="Times New Roman" w:hAnsi="Times New Roman"/>
          <w:sz w:val="24"/>
          <w:szCs w:val="24"/>
        </w:rPr>
        <w:t xml:space="preserve"> </w:t>
      </w:r>
      <w:r w:rsidR="0093693B" w:rsidRPr="00DD4FA8">
        <w:rPr>
          <w:rFonts w:ascii="Times New Roman" w:hAnsi="Times New Roman"/>
          <w:sz w:val="24"/>
          <w:szCs w:val="24"/>
          <w:lang w:val="en-US"/>
        </w:rPr>
        <w:t>Mobile</w:t>
      </w:r>
      <w:r w:rsidR="0093693B" w:rsidRPr="00DD4FA8">
        <w:rPr>
          <w:rFonts w:ascii="Times New Roman" w:hAnsi="Times New Roman"/>
          <w:sz w:val="24"/>
          <w:szCs w:val="24"/>
        </w:rPr>
        <w:t xml:space="preserve"> </w:t>
      </w:r>
      <w:r w:rsidR="0093693B" w:rsidRPr="00DD4FA8">
        <w:rPr>
          <w:rFonts w:ascii="Times New Roman" w:hAnsi="Times New Roman"/>
          <w:sz w:val="24"/>
          <w:szCs w:val="24"/>
          <w:lang w:val="en-US"/>
        </w:rPr>
        <w:t>System</w:t>
      </w:r>
      <w:r w:rsidR="00EB106E" w:rsidRPr="00DD4FA8">
        <w:rPr>
          <w:rFonts w:ascii="Times New Roman" w:hAnsi="Times New Roman"/>
          <w:sz w:val="24"/>
          <w:szCs w:val="24"/>
          <w:lang w:val="en-US"/>
        </w:rPr>
        <w:t>s</w:t>
      </w:r>
      <w:r w:rsidRPr="00DD4FA8">
        <w:rPr>
          <w:rFonts w:ascii="Times New Roman" w:hAnsi="Times New Roman" w:cs="Times New Roman"/>
          <w:sz w:val="24"/>
          <w:szCs w:val="24"/>
        </w:rPr>
        <w:t>» (далее – Заказчик</w:t>
      </w:r>
      <w:r w:rsidR="00D94F95" w:rsidRPr="00DD4FA8">
        <w:rPr>
          <w:rFonts w:ascii="Times New Roman" w:hAnsi="Times New Roman" w:cs="Times New Roman"/>
          <w:sz w:val="24"/>
          <w:szCs w:val="24"/>
        </w:rPr>
        <w:t xml:space="preserve">), </w:t>
      </w:r>
      <w:r w:rsidRPr="00DD4FA8">
        <w:rPr>
          <w:rFonts w:ascii="Times New Roman" w:hAnsi="Times New Roman" w:cs="Times New Roman"/>
          <w:sz w:val="24"/>
          <w:szCs w:val="24"/>
        </w:rPr>
        <w:t>включая управление услугами по ремонту, замене и предоставлению запасных частей</w:t>
      </w:r>
      <w:r w:rsidR="00D94F95" w:rsidRPr="00DD4FA8">
        <w:rPr>
          <w:rFonts w:ascii="Times New Roman" w:hAnsi="Times New Roman" w:cs="Times New Roman"/>
          <w:sz w:val="24"/>
          <w:szCs w:val="24"/>
        </w:rPr>
        <w:t>.</w:t>
      </w:r>
    </w:p>
    <w:p w:rsidR="008E0D1C" w:rsidRPr="00DD4FA8" w:rsidRDefault="008E0D1C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115AEE" w:rsidRDefault="008710D9" w:rsidP="009A0FF2">
      <w:pPr>
        <w:pStyle w:val="2"/>
        <w:numPr>
          <w:ilvl w:val="1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55196366"/>
      <w:r w:rsidRPr="00115AEE">
        <w:rPr>
          <w:rFonts w:ascii="Times New Roman" w:hAnsi="Times New Roman" w:cs="Times New Roman"/>
          <w:b/>
          <w:color w:val="auto"/>
          <w:sz w:val="24"/>
          <w:szCs w:val="24"/>
        </w:rPr>
        <w:t>Основание и цель использования оказываемых услуг</w:t>
      </w:r>
      <w:bookmarkEnd w:id="4"/>
    </w:p>
    <w:p w:rsidR="0093693B" w:rsidRPr="00DD4FA8" w:rsidRDefault="00D94F95" w:rsidP="00115AEE">
      <w:pPr>
        <w:pStyle w:val="af"/>
        <w:spacing w:after="100" w:line="259" w:lineRule="auto"/>
        <w:ind w:left="0" w:firstLine="567"/>
        <w:jc w:val="both"/>
        <w:rPr>
          <w:color w:val="auto"/>
          <w:sz w:val="24"/>
          <w:szCs w:val="24"/>
          <w:lang w:val="ru-RU"/>
        </w:rPr>
      </w:pPr>
      <w:r w:rsidRPr="00DD4F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Целью активации технической поддержки Оборудования на непрерывной основе является поддержание систем, обрабатывающих данные абонентов компании и их сервисов, систем </w:t>
      </w:r>
      <w:proofErr w:type="spellStart"/>
      <w:r w:rsidRPr="00DD4FA8">
        <w:rPr>
          <w:rFonts w:ascii="Times New Roman" w:hAnsi="Times New Roman" w:cs="Times New Roman"/>
          <w:color w:val="auto"/>
          <w:sz w:val="24"/>
          <w:szCs w:val="24"/>
          <w:lang w:val="ru-RU"/>
        </w:rPr>
        <w:t>биллинга</w:t>
      </w:r>
      <w:proofErr w:type="spellEnd"/>
      <w:r w:rsidRPr="00DD4F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систем мобильной радио связи, систем финансово-экономического анализа и маркетинга </w:t>
      </w:r>
      <w:bookmarkStart w:id="5" w:name="_Toc62213566"/>
      <w:bookmarkStart w:id="6" w:name="_Toc23416332"/>
      <w:bookmarkStart w:id="7" w:name="_Toc24726623"/>
      <w:r w:rsidR="0093693B" w:rsidRPr="00DD4FA8">
        <w:rPr>
          <w:rFonts w:ascii="Times New Roman" w:hAnsi="Times New Roman" w:cs="Times New Roman"/>
          <w:color w:val="auto"/>
          <w:sz w:val="24"/>
          <w:szCs w:val="24"/>
          <w:lang w:val="ru-RU"/>
        </w:rPr>
        <w:t>и сокращение издержек, связанных с отказами оборудования и информационных систем Заказчика.</w:t>
      </w:r>
    </w:p>
    <w:p w:rsidR="00D94F95" w:rsidRPr="00DD4FA8" w:rsidRDefault="00D94F95" w:rsidP="00115AEE">
      <w:pPr>
        <w:pStyle w:val="af"/>
        <w:spacing w:after="0" w:line="259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Основанием для реализации проекта является:</w:t>
      </w:r>
      <w:bookmarkEnd w:id="5"/>
    </w:p>
    <w:p w:rsidR="00D94F95" w:rsidRPr="00DD4FA8" w:rsidRDefault="00D94F95" w:rsidP="00115AEE">
      <w:pPr>
        <w:pStyle w:val="af"/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8" w:name="_Toc62213567"/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окончание срока действия гарантийной технической поддержки на Оборудование;</w:t>
      </w:r>
      <w:bookmarkEnd w:id="8"/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 </w:t>
      </w:r>
    </w:p>
    <w:p w:rsidR="00D94F95" w:rsidRPr="00DD4FA8" w:rsidRDefault="00D94F95" w:rsidP="00115AEE">
      <w:pPr>
        <w:pStyle w:val="af"/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9" w:name="_Toc62213568"/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обеспечение надежности и отказоустойчивости Оборудования и ИТ-сервисов, работающих на данной платформе;</w:t>
      </w:r>
      <w:bookmarkEnd w:id="9"/>
    </w:p>
    <w:p w:rsidR="00EB106E" w:rsidRPr="00DD4FA8" w:rsidRDefault="00EB106E" w:rsidP="00115AEE">
      <w:pPr>
        <w:pStyle w:val="a4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0" w:name="_Toc62213570"/>
      <w:r w:rsidRPr="00DD4FA8">
        <w:rPr>
          <w:rFonts w:ascii="Times New Roman" w:hAnsi="Times New Roman"/>
          <w:sz w:val="24"/>
          <w:szCs w:val="24"/>
        </w:rPr>
        <w:t>запланированные ИТ-проекты на 202</w:t>
      </w:r>
      <w:r w:rsidR="00115AEE">
        <w:rPr>
          <w:rFonts w:ascii="Times New Roman" w:hAnsi="Times New Roman"/>
          <w:sz w:val="24"/>
          <w:szCs w:val="24"/>
        </w:rPr>
        <w:t>4</w:t>
      </w:r>
      <w:r w:rsidRPr="00DD4FA8">
        <w:rPr>
          <w:rFonts w:ascii="Times New Roman" w:hAnsi="Times New Roman"/>
          <w:sz w:val="24"/>
          <w:szCs w:val="24"/>
        </w:rPr>
        <w:t>-202</w:t>
      </w:r>
      <w:r w:rsidR="00115AEE">
        <w:rPr>
          <w:rFonts w:ascii="Times New Roman" w:hAnsi="Times New Roman"/>
          <w:sz w:val="24"/>
          <w:szCs w:val="24"/>
        </w:rPr>
        <w:t>5</w:t>
      </w:r>
      <w:r w:rsidRPr="00DD4FA8">
        <w:rPr>
          <w:rFonts w:ascii="Times New Roman" w:hAnsi="Times New Roman"/>
          <w:sz w:val="24"/>
          <w:szCs w:val="24"/>
        </w:rPr>
        <w:t xml:space="preserve"> гг. на мощностях Оборудования;</w:t>
      </w:r>
    </w:p>
    <w:p w:rsidR="00A64313" w:rsidRPr="00DD4FA8" w:rsidRDefault="00D94F95" w:rsidP="00115AEE">
      <w:pPr>
        <w:pStyle w:val="af"/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наличие бюджетных средств ООО</w:t>
      </w:r>
      <w:r w:rsidR="00A64313"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«</w:t>
      </w:r>
      <w:r w:rsidRPr="00DD4FA8"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UMS</w:t>
      </w:r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»</w:t>
      </w:r>
      <w:r w:rsidR="008A302D"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, </w:t>
      </w:r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направленных на техническую поддержку оборудования ИТ-инфраструктуры</w:t>
      </w:r>
      <w:r w:rsidR="00A64313"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;</w:t>
      </w:r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</w:p>
    <w:p w:rsidR="0094244D" w:rsidRPr="00DD4FA8" w:rsidRDefault="00D94F95" w:rsidP="00115AEE">
      <w:pPr>
        <w:pStyle w:val="af"/>
        <w:numPr>
          <w:ilvl w:val="0"/>
          <w:numId w:val="4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план закупок</w:t>
      </w:r>
      <w:r w:rsidR="00EB106E"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="00C05EEA"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по </w:t>
      </w:r>
      <w:r w:rsidR="00EB106E"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ИТ </w:t>
      </w:r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на 202</w:t>
      </w:r>
      <w:r w:rsidR="00115AEE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4</w:t>
      </w:r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г.</w:t>
      </w:r>
      <w:bookmarkEnd w:id="10"/>
      <w:r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 </w:t>
      </w:r>
      <w:bookmarkEnd w:id="6"/>
      <w:bookmarkEnd w:id="7"/>
      <w:r w:rsidR="00A64313" w:rsidRPr="00DD4FA8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 </w:t>
      </w:r>
    </w:p>
    <w:p w:rsidR="008E0D1C" w:rsidRPr="00DD4FA8" w:rsidRDefault="008E0D1C" w:rsidP="008E0D1C">
      <w:pPr>
        <w:pStyle w:val="af"/>
        <w:tabs>
          <w:tab w:val="left" w:pos="426"/>
        </w:tabs>
        <w:spacing w:after="100" w:line="259" w:lineRule="auto"/>
        <w:ind w:left="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</w:p>
    <w:p w:rsidR="0094244D" w:rsidRPr="00115AEE" w:rsidRDefault="008710D9" w:rsidP="009A0FF2">
      <w:pPr>
        <w:pStyle w:val="2"/>
        <w:numPr>
          <w:ilvl w:val="1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55196367"/>
      <w:r w:rsidRPr="00115AEE">
        <w:rPr>
          <w:rFonts w:ascii="Times New Roman" w:hAnsi="Times New Roman" w:cs="Times New Roman"/>
          <w:b/>
          <w:color w:val="auto"/>
          <w:sz w:val="24"/>
          <w:szCs w:val="24"/>
        </w:rPr>
        <w:t>Перечень услуг</w:t>
      </w:r>
      <w:r w:rsidR="00780833" w:rsidRPr="00115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780833" w:rsidRPr="009A0FF2">
        <w:rPr>
          <w:rFonts w:ascii="Times New Roman" w:hAnsi="Times New Roman" w:cs="Times New Roman"/>
          <w:b/>
          <w:color w:val="auto"/>
          <w:sz w:val="24"/>
          <w:szCs w:val="24"/>
        </w:rPr>
        <w:t>SLA</w:t>
      </w:r>
      <w:r w:rsidR="00780833" w:rsidRPr="00115AE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bookmarkEnd w:id="11"/>
    </w:p>
    <w:p w:rsidR="00570982" w:rsidRPr="00570982" w:rsidRDefault="00A64313" w:rsidP="0032265C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Действующий сервисный контракт на </w:t>
      </w:r>
      <w:r w:rsidR="00CD4EC7" w:rsidRPr="00DD4FA8">
        <w:rPr>
          <w:rFonts w:ascii="Times New Roman" w:hAnsi="Times New Roman" w:cs="Times New Roman"/>
          <w:sz w:val="24"/>
          <w:szCs w:val="24"/>
        </w:rPr>
        <w:t>серверное</w:t>
      </w:r>
      <w:r w:rsidRPr="00DD4FA8">
        <w:rPr>
          <w:rFonts w:ascii="Times New Roman" w:hAnsi="Times New Roman" w:cs="Times New Roman"/>
          <w:sz w:val="24"/>
          <w:szCs w:val="24"/>
        </w:rPr>
        <w:t xml:space="preserve"> оборудование: </w:t>
      </w:r>
      <w:r w:rsidR="00CD4EC7" w:rsidRPr="00DD4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Support </w:t>
      </w:r>
      <w:proofErr w:type="spellStart"/>
      <w:r w:rsidR="00CD4EC7" w:rsidRPr="00DD4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Identifier</w:t>
      </w:r>
      <w:proofErr w:type="spellEnd"/>
      <w:r w:rsidR="00CD4EC7" w:rsidRPr="00DD4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70982" w:rsidRPr="00570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27170695</w:t>
      </w:r>
      <w:r w:rsidR="00CD4EC7" w:rsidRPr="00DD4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982" w:rsidRPr="00570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0982" w:rsidRPr="005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64313" w:rsidRPr="00DD4FA8" w:rsidRDefault="00A64313" w:rsidP="0032265C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Срок действия текущего сервисного контракта: </w:t>
      </w:r>
      <w:r w:rsidRPr="00DD4FA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70982">
        <w:rPr>
          <w:rFonts w:ascii="Times New Roman" w:hAnsi="Times New Roman" w:cs="Times New Roman"/>
          <w:b/>
          <w:sz w:val="24"/>
          <w:szCs w:val="24"/>
        </w:rPr>
        <w:t>24</w:t>
      </w:r>
      <w:r w:rsidRPr="00DD4FA8">
        <w:rPr>
          <w:rFonts w:ascii="Times New Roman" w:hAnsi="Times New Roman" w:cs="Times New Roman"/>
          <w:b/>
          <w:sz w:val="24"/>
          <w:szCs w:val="24"/>
        </w:rPr>
        <w:t>.</w:t>
      </w:r>
      <w:r w:rsidR="00570982">
        <w:rPr>
          <w:rFonts w:ascii="Times New Roman" w:hAnsi="Times New Roman" w:cs="Times New Roman"/>
          <w:b/>
          <w:sz w:val="24"/>
          <w:szCs w:val="24"/>
        </w:rPr>
        <w:t>03</w:t>
      </w:r>
      <w:r w:rsidRPr="00DD4FA8">
        <w:rPr>
          <w:rFonts w:ascii="Times New Roman" w:hAnsi="Times New Roman" w:cs="Times New Roman"/>
          <w:b/>
          <w:sz w:val="24"/>
          <w:szCs w:val="24"/>
        </w:rPr>
        <w:t>.202</w:t>
      </w:r>
      <w:r w:rsidR="007A6A56">
        <w:rPr>
          <w:rFonts w:ascii="Times New Roman" w:hAnsi="Times New Roman" w:cs="Times New Roman"/>
          <w:b/>
          <w:sz w:val="24"/>
          <w:szCs w:val="24"/>
        </w:rPr>
        <w:t>5</w:t>
      </w:r>
      <w:r w:rsidRPr="00DD4FA8">
        <w:rPr>
          <w:rFonts w:ascii="Times New Roman" w:hAnsi="Times New Roman" w:cs="Times New Roman"/>
          <w:b/>
          <w:sz w:val="24"/>
          <w:szCs w:val="24"/>
        </w:rPr>
        <w:t>.</w:t>
      </w:r>
    </w:p>
    <w:p w:rsidR="00A64313" w:rsidRPr="00570982" w:rsidRDefault="00A64313" w:rsidP="0032265C">
      <w:pPr>
        <w:spacing w:after="10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FA8">
        <w:rPr>
          <w:rFonts w:ascii="Times New Roman" w:hAnsi="Times New Roman" w:cs="Times New Roman"/>
          <w:sz w:val="24"/>
          <w:szCs w:val="24"/>
        </w:rPr>
        <w:t>Уровень</w:t>
      </w:r>
      <w:r w:rsidRPr="00570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FA8">
        <w:rPr>
          <w:rFonts w:ascii="Times New Roman" w:hAnsi="Times New Roman" w:cs="Times New Roman"/>
          <w:sz w:val="24"/>
          <w:szCs w:val="24"/>
        </w:rPr>
        <w:t>технической</w:t>
      </w:r>
      <w:r w:rsidRPr="00570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FA8">
        <w:rPr>
          <w:rFonts w:ascii="Times New Roman" w:hAnsi="Times New Roman" w:cs="Times New Roman"/>
          <w:sz w:val="24"/>
          <w:szCs w:val="24"/>
        </w:rPr>
        <w:t>поддержки</w:t>
      </w:r>
      <w:r w:rsidRPr="0057098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05EEA" w:rsidRPr="00570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5EEA" w:rsidRPr="0057098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570982" w:rsidRPr="00570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Premier Support for Systems Indirect Customer</w:t>
      </w:r>
      <w:r w:rsidR="00C05EEA" w:rsidRPr="00570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» </w:t>
      </w:r>
      <w:r w:rsidR="00C05EEA" w:rsidRPr="00DD4FA8">
        <w:rPr>
          <w:rFonts w:ascii="Times New Roman" w:hAnsi="Times New Roman" w:cs="Times New Roman"/>
          <w:sz w:val="24"/>
          <w:szCs w:val="24"/>
        </w:rPr>
        <w:t>по</w:t>
      </w:r>
      <w:r w:rsidR="00C05EEA" w:rsidRPr="00570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5EEA" w:rsidRPr="00DD4FA8">
        <w:rPr>
          <w:rFonts w:ascii="Times New Roman" w:hAnsi="Times New Roman" w:cs="Times New Roman"/>
          <w:sz w:val="24"/>
          <w:szCs w:val="24"/>
        </w:rPr>
        <w:t>программе</w:t>
      </w:r>
      <w:r w:rsidR="00C05EEA" w:rsidRPr="00570982">
        <w:rPr>
          <w:rFonts w:ascii="Times New Roman" w:hAnsi="Times New Roman" w:cs="Times New Roman"/>
          <w:sz w:val="24"/>
          <w:szCs w:val="24"/>
          <w:lang w:val="en-US"/>
        </w:rPr>
        <w:t xml:space="preserve"> «On-site 7x2</w:t>
      </w:r>
      <w:r w:rsidR="001D221A" w:rsidRPr="00570982">
        <w:rPr>
          <w:rFonts w:ascii="Times New Roman" w:hAnsi="Times New Roman" w:cs="Times New Roman"/>
          <w:sz w:val="24"/>
          <w:szCs w:val="24"/>
          <w:lang w:val="en-US"/>
        </w:rPr>
        <w:t xml:space="preserve">4».  </w:t>
      </w:r>
      <w:r w:rsidRPr="00570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6938" w:rsidRPr="00DD4FA8" w:rsidRDefault="001D6938" w:rsidP="0032265C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Программа предоставления услуг по технической поддержке аппаратного обеспечения </w:t>
      </w:r>
      <w:proofErr w:type="spellStart"/>
      <w:r w:rsidRPr="00DD4FA8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DD4FA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05CE2" w:rsidRPr="00AB7036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https://www.oracle.com/a/ocom/docs/corporate/oracle-premier-support-for-systems.pdf</w:t>
        </w:r>
      </w:hyperlink>
      <w:r w:rsidR="00805CE2" w:rsidRPr="00805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FA8">
        <w:rPr>
          <w:rFonts w:ascii="Times New Roman" w:hAnsi="Times New Roman" w:cs="Times New Roman"/>
          <w:sz w:val="24"/>
          <w:szCs w:val="24"/>
        </w:rPr>
        <w:t>которая включает в себя услуги:</w:t>
      </w:r>
    </w:p>
    <w:p w:rsidR="001D6938" w:rsidRPr="00570982" w:rsidRDefault="001D6938" w:rsidP="0032265C">
      <w:pPr>
        <w:pStyle w:val="a4"/>
        <w:numPr>
          <w:ilvl w:val="0"/>
          <w:numId w:val="15"/>
        </w:numPr>
        <w:tabs>
          <w:tab w:val="left" w:pos="993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982">
        <w:rPr>
          <w:rFonts w:ascii="Times New Roman" w:hAnsi="Times New Roman" w:cs="Times New Roman"/>
          <w:sz w:val="24"/>
          <w:szCs w:val="24"/>
        </w:rPr>
        <w:t>Техническая поддержка оборудования, указанного в Приложении № 1 (далее – Оборудование), с уровнем под</w:t>
      </w:r>
      <w:r w:rsidR="00CD4EC7" w:rsidRPr="00570982">
        <w:rPr>
          <w:rFonts w:ascii="Times New Roman" w:hAnsi="Times New Roman" w:cs="Times New Roman"/>
          <w:sz w:val="24"/>
          <w:szCs w:val="24"/>
        </w:rPr>
        <w:t>держки «</w:t>
      </w:r>
      <w:proofErr w:type="spellStart"/>
      <w:r w:rsidR="00CD4EC7" w:rsidRPr="00570982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CD4EC7" w:rsidRPr="00570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EC7" w:rsidRPr="00570982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="00CD4EC7" w:rsidRPr="00570982">
        <w:rPr>
          <w:rFonts w:ascii="Times New Roman" w:hAnsi="Times New Roman" w:cs="Times New Roman"/>
          <w:sz w:val="24"/>
          <w:szCs w:val="24"/>
        </w:rPr>
        <w:t xml:space="preserve"> Support»</w:t>
      </w:r>
      <w:r w:rsidRPr="00570982">
        <w:rPr>
          <w:rFonts w:ascii="Times New Roman" w:hAnsi="Times New Roman" w:cs="Times New Roman"/>
          <w:sz w:val="24"/>
          <w:szCs w:val="24"/>
        </w:rPr>
        <w:t xml:space="preserve"> по программе «</w:t>
      </w:r>
      <w:proofErr w:type="spellStart"/>
      <w:r w:rsidRPr="00570982">
        <w:rPr>
          <w:rFonts w:ascii="Times New Roman" w:hAnsi="Times New Roman" w:cs="Times New Roman"/>
          <w:sz w:val="24"/>
          <w:szCs w:val="24"/>
        </w:rPr>
        <w:t>On-site</w:t>
      </w:r>
      <w:proofErr w:type="spellEnd"/>
      <w:r w:rsidRPr="00570982">
        <w:rPr>
          <w:rFonts w:ascii="Times New Roman" w:hAnsi="Times New Roman" w:cs="Times New Roman"/>
          <w:sz w:val="24"/>
          <w:szCs w:val="24"/>
        </w:rPr>
        <w:t xml:space="preserve"> 7x24», в </w:t>
      </w:r>
      <w:proofErr w:type="spellStart"/>
      <w:r w:rsidRPr="005709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70982">
        <w:rPr>
          <w:rFonts w:ascii="Times New Roman" w:hAnsi="Times New Roman" w:cs="Times New Roman"/>
          <w:sz w:val="24"/>
          <w:szCs w:val="24"/>
        </w:rPr>
        <w:t>. предоставление новых версий обслуживаемого ПО и кодов программных коррекций (</w:t>
      </w:r>
      <w:proofErr w:type="spellStart"/>
      <w:r w:rsidRPr="00570982">
        <w:rPr>
          <w:rFonts w:ascii="Times New Roman" w:hAnsi="Times New Roman" w:cs="Times New Roman"/>
          <w:sz w:val="24"/>
          <w:szCs w:val="24"/>
        </w:rPr>
        <w:t>patches</w:t>
      </w:r>
      <w:proofErr w:type="spellEnd"/>
      <w:r w:rsidRPr="00570982">
        <w:rPr>
          <w:rFonts w:ascii="Times New Roman" w:hAnsi="Times New Roman" w:cs="Times New Roman"/>
          <w:sz w:val="24"/>
          <w:szCs w:val="24"/>
        </w:rPr>
        <w:t>) по мере их выпуска компаниями-производителями.</w:t>
      </w:r>
    </w:p>
    <w:p w:rsidR="001D6938" w:rsidRPr="00DD4FA8" w:rsidRDefault="001D6938" w:rsidP="00492456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«Горячая линия» неограниченные консультации без выходных, круглосуточно, по телефону, факсу или электронной почте по вопросам настройки, базового администрирования оборудования и ПО, диагностики неисправностей и проведения восстановительных работ.</w:t>
      </w:r>
    </w:p>
    <w:p w:rsidR="001D6938" w:rsidRPr="00DD4FA8" w:rsidRDefault="001D6938" w:rsidP="0032265C">
      <w:pPr>
        <w:tabs>
          <w:tab w:val="left" w:pos="851"/>
        </w:tabs>
        <w:spacing w:after="1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Время осуществления консультаций круглосуточно (24х7), включая выходные и праздничные дни. Реакция предполагает обратный звонок специалиста сервисного центра для определения технических подробностей проблемы, консультацию и при необходимости инициацию работ. Время реакции специалиста сервисного центра- в </w:t>
      </w:r>
      <w:r w:rsidRPr="00DD4FA8">
        <w:rPr>
          <w:rFonts w:ascii="Times New Roman" w:hAnsi="Times New Roman" w:cs="Times New Roman"/>
          <w:sz w:val="24"/>
          <w:szCs w:val="24"/>
        </w:rPr>
        <w:lastRenderedPageBreak/>
        <w:t>течение 2 часов после размещения запроса на обслуживание.  Визит специалиста Сервисного центра на площадку Заказчика для проведения диагностики и ремонтно-восстановительных работ. Время осуществления визитов – круглосуточно (24x</w:t>
      </w:r>
      <w:r w:rsidR="00102614" w:rsidRPr="00DD4FA8">
        <w:rPr>
          <w:rFonts w:ascii="Times New Roman" w:hAnsi="Times New Roman" w:cs="Times New Roman"/>
          <w:sz w:val="24"/>
          <w:szCs w:val="24"/>
        </w:rPr>
        <w:t>7</w:t>
      </w:r>
      <w:r w:rsidRPr="00DD4FA8">
        <w:rPr>
          <w:rFonts w:ascii="Times New Roman" w:hAnsi="Times New Roman" w:cs="Times New Roman"/>
          <w:sz w:val="24"/>
          <w:szCs w:val="24"/>
        </w:rPr>
        <w:t>) включая выходные и праздничные дни.</w:t>
      </w:r>
    </w:p>
    <w:p w:rsidR="001D6938" w:rsidRPr="00DD4FA8" w:rsidRDefault="001D6938" w:rsidP="004924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Виды консультаций:  </w:t>
      </w:r>
    </w:p>
    <w:p w:rsidR="001D6938" w:rsidRPr="00570982" w:rsidRDefault="00A65A72" w:rsidP="0032265C">
      <w:pPr>
        <w:pStyle w:val="a4"/>
        <w:numPr>
          <w:ilvl w:val="0"/>
          <w:numId w:val="14"/>
        </w:numPr>
        <w:tabs>
          <w:tab w:val="left" w:pos="851"/>
        </w:tabs>
        <w:spacing w:after="10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D6938" w:rsidRPr="00570982">
        <w:rPr>
          <w:rFonts w:ascii="Times New Roman" w:hAnsi="Times New Roman" w:cs="Times New Roman"/>
          <w:sz w:val="24"/>
          <w:szCs w:val="24"/>
        </w:rPr>
        <w:t xml:space="preserve">онсультация при возникновении аппаратных сбоев Оборудования и ПО, в комплектации   указанной в </w:t>
      </w:r>
      <w:r w:rsidR="00102614" w:rsidRPr="00570982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1D6938" w:rsidRPr="00570982">
        <w:rPr>
          <w:rFonts w:ascii="Times New Roman" w:hAnsi="Times New Roman" w:cs="Times New Roman"/>
          <w:sz w:val="24"/>
          <w:szCs w:val="24"/>
        </w:rPr>
        <w:t>№1.</w:t>
      </w:r>
    </w:p>
    <w:p w:rsidR="001D6938" w:rsidRPr="00570982" w:rsidRDefault="00A65A72" w:rsidP="0032265C">
      <w:pPr>
        <w:pStyle w:val="a4"/>
        <w:numPr>
          <w:ilvl w:val="0"/>
          <w:numId w:val="14"/>
        </w:numPr>
        <w:tabs>
          <w:tab w:val="left" w:pos="851"/>
        </w:tabs>
        <w:spacing w:after="10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D6938" w:rsidRPr="00570982">
        <w:rPr>
          <w:rFonts w:ascii="Times New Roman" w:hAnsi="Times New Roman" w:cs="Times New Roman"/>
          <w:sz w:val="24"/>
          <w:szCs w:val="24"/>
        </w:rPr>
        <w:t xml:space="preserve">онсультации по функциональным возможностям линейки оборудования  </w:t>
      </w:r>
    </w:p>
    <w:p w:rsidR="001D6938" w:rsidRPr="00570982" w:rsidRDefault="00A65A72" w:rsidP="0032265C">
      <w:pPr>
        <w:pStyle w:val="a4"/>
        <w:numPr>
          <w:ilvl w:val="0"/>
          <w:numId w:val="14"/>
        </w:numPr>
        <w:tabs>
          <w:tab w:val="left" w:pos="851"/>
        </w:tabs>
        <w:spacing w:after="10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D6938" w:rsidRPr="00570982">
        <w:rPr>
          <w:rFonts w:ascii="Times New Roman" w:hAnsi="Times New Roman" w:cs="Times New Roman"/>
          <w:sz w:val="24"/>
          <w:szCs w:val="24"/>
        </w:rPr>
        <w:t xml:space="preserve">онсультации по вопросам конфигурирования, эксплуатации   оборудования  </w:t>
      </w:r>
    </w:p>
    <w:p w:rsidR="001D6938" w:rsidRPr="00570982" w:rsidRDefault="00A65A72" w:rsidP="0032265C">
      <w:pPr>
        <w:pStyle w:val="a4"/>
        <w:numPr>
          <w:ilvl w:val="0"/>
          <w:numId w:val="14"/>
        </w:numPr>
        <w:tabs>
          <w:tab w:val="left" w:pos="851"/>
        </w:tabs>
        <w:spacing w:after="10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D6938" w:rsidRPr="00570982">
        <w:rPr>
          <w:rFonts w:ascii="Times New Roman" w:hAnsi="Times New Roman" w:cs="Times New Roman"/>
          <w:sz w:val="24"/>
          <w:szCs w:val="24"/>
        </w:rPr>
        <w:t>онсультации по установке обновлений, версий, и исправлений (</w:t>
      </w:r>
      <w:proofErr w:type="spellStart"/>
      <w:r w:rsidR="001D6938" w:rsidRPr="00570982">
        <w:rPr>
          <w:rFonts w:ascii="Times New Roman" w:hAnsi="Times New Roman" w:cs="Times New Roman"/>
          <w:sz w:val="24"/>
          <w:szCs w:val="24"/>
        </w:rPr>
        <w:t>patches</w:t>
      </w:r>
      <w:proofErr w:type="spellEnd"/>
      <w:r w:rsidR="001D6938" w:rsidRPr="00570982">
        <w:rPr>
          <w:rFonts w:ascii="Times New Roman" w:hAnsi="Times New Roman" w:cs="Times New Roman"/>
          <w:sz w:val="24"/>
          <w:szCs w:val="24"/>
        </w:rPr>
        <w:t>) аппаратных и программных продуктов</w:t>
      </w:r>
    </w:p>
    <w:p w:rsidR="001D6938" w:rsidRPr="00570982" w:rsidRDefault="00A65A72" w:rsidP="0032265C">
      <w:pPr>
        <w:pStyle w:val="a4"/>
        <w:numPr>
          <w:ilvl w:val="0"/>
          <w:numId w:val="14"/>
        </w:numPr>
        <w:tabs>
          <w:tab w:val="left" w:pos="851"/>
        </w:tabs>
        <w:spacing w:after="10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D6938" w:rsidRPr="00570982">
        <w:rPr>
          <w:rFonts w:ascii="Times New Roman" w:hAnsi="Times New Roman" w:cs="Times New Roman"/>
          <w:sz w:val="24"/>
          <w:szCs w:val="24"/>
        </w:rPr>
        <w:t xml:space="preserve">онсультации по проведению превентивных мер для недопущения аварийных ситуаций оборудования.  </w:t>
      </w:r>
    </w:p>
    <w:p w:rsidR="001D6938" w:rsidRPr="00570982" w:rsidRDefault="00A65A72" w:rsidP="0032265C">
      <w:pPr>
        <w:pStyle w:val="a4"/>
        <w:numPr>
          <w:ilvl w:val="0"/>
          <w:numId w:val="14"/>
        </w:numPr>
        <w:tabs>
          <w:tab w:val="left" w:pos="851"/>
        </w:tabs>
        <w:spacing w:after="10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D6938" w:rsidRPr="00570982">
        <w:rPr>
          <w:rFonts w:ascii="Times New Roman" w:hAnsi="Times New Roman" w:cs="Times New Roman"/>
          <w:sz w:val="24"/>
          <w:szCs w:val="24"/>
        </w:rPr>
        <w:t>онсультации по предварительной диагностике и локализации возникающих неисправностей на оборудовании и программном обеспечении.</w:t>
      </w:r>
    </w:p>
    <w:p w:rsidR="001D6938" w:rsidRPr="00570982" w:rsidRDefault="00A65A72" w:rsidP="0032265C">
      <w:pPr>
        <w:pStyle w:val="a4"/>
        <w:numPr>
          <w:ilvl w:val="0"/>
          <w:numId w:val="14"/>
        </w:numPr>
        <w:tabs>
          <w:tab w:val="left" w:pos="851"/>
        </w:tabs>
        <w:spacing w:after="10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D6938" w:rsidRPr="00570982">
        <w:rPr>
          <w:rFonts w:ascii="Times New Roman" w:hAnsi="Times New Roman" w:cs="Times New Roman"/>
          <w:sz w:val="24"/>
          <w:szCs w:val="24"/>
        </w:rPr>
        <w:t>онсультации по вопросам расширения и модернизации оборудования.</w:t>
      </w:r>
    </w:p>
    <w:p w:rsidR="001D6938" w:rsidRPr="00570982" w:rsidRDefault="00A65A72" w:rsidP="0032265C">
      <w:pPr>
        <w:pStyle w:val="a4"/>
        <w:numPr>
          <w:ilvl w:val="0"/>
          <w:numId w:val="14"/>
        </w:numPr>
        <w:tabs>
          <w:tab w:val="left" w:pos="851"/>
        </w:tabs>
        <w:spacing w:after="10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D6938" w:rsidRPr="00570982">
        <w:rPr>
          <w:rFonts w:ascii="Times New Roman" w:hAnsi="Times New Roman" w:cs="Times New Roman"/>
          <w:sz w:val="24"/>
          <w:szCs w:val="24"/>
        </w:rPr>
        <w:t>ругие технические вопросы, связанные с функционированием оборудования и встроенного в него программного обеспечения.</w:t>
      </w:r>
    </w:p>
    <w:p w:rsidR="001D6938" w:rsidRPr="00DD4FA8" w:rsidRDefault="001D6938" w:rsidP="0032265C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Консультации должны проводиться до окончательного закрытия запроса, поднятого сотрудниками Заказчика. При невозможности решить проблему с помощью консультации специалист Исполнителя, проводивший консультации, должен передать запрос (заявку) на следующий уровень технической поддержки и контролировать дальнейшее выполнение данного запроса (заявки).</w:t>
      </w:r>
    </w:p>
    <w:p w:rsidR="001D6938" w:rsidRPr="00DD4FA8" w:rsidRDefault="001D6938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Исполнитель должен предоставить возможность открытия заявок следующими способами: </w:t>
      </w:r>
    </w:p>
    <w:p w:rsidR="001D6938" w:rsidRPr="00492456" w:rsidRDefault="000E7BDA" w:rsidP="00492456">
      <w:pPr>
        <w:pStyle w:val="a4"/>
        <w:numPr>
          <w:ilvl w:val="0"/>
          <w:numId w:val="20"/>
        </w:numPr>
        <w:tabs>
          <w:tab w:val="left" w:pos="851"/>
        </w:tabs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D6938" w:rsidRPr="00492456">
        <w:rPr>
          <w:rFonts w:ascii="Times New Roman" w:hAnsi="Times New Roman" w:cs="Times New Roman"/>
          <w:sz w:val="24"/>
          <w:szCs w:val="24"/>
        </w:rPr>
        <w:t>ерез веб-сайт компании Исполнителя;</w:t>
      </w:r>
    </w:p>
    <w:p w:rsidR="001D6938" w:rsidRPr="00492456" w:rsidRDefault="000E7BDA" w:rsidP="00492456">
      <w:pPr>
        <w:pStyle w:val="a4"/>
        <w:numPr>
          <w:ilvl w:val="0"/>
          <w:numId w:val="20"/>
        </w:numPr>
        <w:tabs>
          <w:tab w:val="left" w:pos="851"/>
        </w:tabs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6938" w:rsidRPr="00492456">
        <w:rPr>
          <w:rFonts w:ascii="Times New Roman" w:hAnsi="Times New Roman" w:cs="Times New Roman"/>
          <w:sz w:val="24"/>
          <w:szCs w:val="24"/>
        </w:rPr>
        <w:t>о бесплатному, на территории Узбекистана, телефону;</w:t>
      </w:r>
    </w:p>
    <w:p w:rsidR="001D6938" w:rsidRPr="00492456" w:rsidRDefault="000E7BDA" w:rsidP="00492456">
      <w:pPr>
        <w:pStyle w:val="a4"/>
        <w:numPr>
          <w:ilvl w:val="0"/>
          <w:numId w:val="20"/>
        </w:numPr>
        <w:tabs>
          <w:tab w:val="left" w:pos="851"/>
        </w:tabs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6938" w:rsidRPr="00492456">
        <w:rPr>
          <w:rFonts w:ascii="Times New Roman" w:hAnsi="Times New Roman" w:cs="Times New Roman"/>
          <w:sz w:val="24"/>
          <w:szCs w:val="24"/>
        </w:rPr>
        <w:t>о электронной почте.</w:t>
      </w:r>
    </w:p>
    <w:p w:rsidR="001D6938" w:rsidRPr="00DD4FA8" w:rsidRDefault="001D6938" w:rsidP="0032265C">
      <w:pPr>
        <w:pStyle w:val="a4"/>
        <w:numPr>
          <w:ilvl w:val="0"/>
          <w:numId w:val="15"/>
        </w:numPr>
        <w:tabs>
          <w:tab w:val="left" w:pos="993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Документирование: </w:t>
      </w:r>
      <w:r w:rsidR="00A65A72">
        <w:rPr>
          <w:rFonts w:ascii="Times New Roman" w:hAnsi="Times New Roman" w:cs="Times New Roman"/>
          <w:sz w:val="24"/>
          <w:szCs w:val="24"/>
        </w:rPr>
        <w:t>с</w:t>
      </w:r>
      <w:r w:rsidR="00CD4EC7" w:rsidRPr="00DD4FA8">
        <w:rPr>
          <w:rFonts w:ascii="Times New Roman" w:hAnsi="Times New Roman" w:cs="Times New Roman"/>
          <w:sz w:val="24"/>
          <w:szCs w:val="24"/>
        </w:rPr>
        <w:t>оставление</w:t>
      </w:r>
      <w:r w:rsidRPr="00DD4FA8">
        <w:rPr>
          <w:rFonts w:ascii="Times New Roman" w:hAnsi="Times New Roman" w:cs="Times New Roman"/>
          <w:sz w:val="24"/>
          <w:szCs w:val="24"/>
        </w:rPr>
        <w:t xml:space="preserve"> </w:t>
      </w:r>
      <w:r w:rsidR="00591F29" w:rsidRPr="00DD4FA8">
        <w:rPr>
          <w:rFonts w:ascii="Times New Roman" w:hAnsi="Times New Roman" w:cs="Times New Roman"/>
          <w:sz w:val="24"/>
          <w:szCs w:val="24"/>
        </w:rPr>
        <w:t xml:space="preserve">дефектных актов </w:t>
      </w:r>
      <w:r w:rsidRPr="00DD4FA8">
        <w:rPr>
          <w:rFonts w:ascii="Times New Roman" w:hAnsi="Times New Roman" w:cs="Times New Roman"/>
          <w:sz w:val="24"/>
          <w:szCs w:val="24"/>
        </w:rPr>
        <w:t xml:space="preserve">на вышедшее из строя Оборудование, компоненты для дальнейшей его замены. </w:t>
      </w:r>
    </w:p>
    <w:p w:rsidR="001D6938" w:rsidRPr="00DD4FA8" w:rsidRDefault="001D6938" w:rsidP="0032265C">
      <w:pPr>
        <w:pStyle w:val="a4"/>
        <w:numPr>
          <w:ilvl w:val="0"/>
          <w:numId w:val="15"/>
        </w:numPr>
        <w:tabs>
          <w:tab w:val="left" w:pos="993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Регламентные и профилактические работы:</w:t>
      </w:r>
    </w:p>
    <w:p w:rsidR="001D6938" w:rsidRPr="0032265C" w:rsidRDefault="001D6938" w:rsidP="0032265C">
      <w:pPr>
        <w:pStyle w:val="a4"/>
        <w:numPr>
          <w:ilvl w:val="0"/>
          <w:numId w:val="18"/>
        </w:numPr>
        <w:tabs>
          <w:tab w:val="left" w:pos="1276"/>
        </w:tabs>
        <w:spacing w:after="10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265C">
        <w:rPr>
          <w:rFonts w:ascii="Times New Roman" w:hAnsi="Times New Roman" w:cs="Times New Roman"/>
          <w:sz w:val="24"/>
          <w:szCs w:val="24"/>
        </w:rPr>
        <w:t>Регламентные и профилактические работы проводятся на основании утвержденного документа, описывающего объем и содержание регламентных и профилактических работ, а также графика выполнения работ с периодичность их выполнения и требований к порядку выполнения профилактических работ.</w:t>
      </w:r>
    </w:p>
    <w:p w:rsidR="001D6938" w:rsidRPr="00DD4FA8" w:rsidRDefault="001D6938" w:rsidP="0032265C">
      <w:pPr>
        <w:pStyle w:val="a4"/>
        <w:numPr>
          <w:ilvl w:val="0"/>
          <w:numId w:val="18"/>
        </w:numPr>
        <w:tabs>
          <w:tab w:val="left" w:pos="1276"/>
        </w:tabs>
        <w:spacing w:after="10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Регламентные и профилактические работы выполняются с выездом по месту расположения оборудования. Профилактические визиты осуществляются ежемесячно по согласованному план- графику. Продолжительность визита определяется объемом работ на площадке.  </w:t>
      </w:r>
    </w:p>
    <w:p w:rsidR="001D6938" w:rsidRPr="00A65A72" w:rsidRDefault="00A65A72" w:rsidP="00A65A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6938" w:rsidRPr="00A65A72">
        <w:rPr>
          <w:rFonts w:ascii="Times New Roman" w:hAnsi="Times New Roman" w:cs="Times New Roman"/>
          <w:sz w:val="24"/>
          <w:szCs w:val="24"/>
        </w:rPr>
        <w:t>Порядок выполнения регламентных работ:</w:t>
      </w:r>
    </w:p>
    <w:p w:rsidR="001D6938" w:rsidRPr="0032265C" w:rsidRDefault="000E7BDA" w:rsidP="00A65A72">
      <w:pPr>
        <w:pStyle w:val="a4"/>
        <w:numPr>
          <w:ilvl w:val="0"/>
          <w:numId w:val="19"/>
        </w:numPr>
        <w:tabs>
          <w:tab w:val="left" w:pos="1134"/>
        </w:tabs>
        <w:spacing w:after="10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D4EC7" w:rsidRPr="0032265C">
        <w:rPr>
          <w:rFonts w:ascii="Times New Roman" w:hAnsi="Times New Roman" w:cs="Times New Roman"/>
          <w:sz w:val="24"/>
          <w:szCs w:val="24"/>
        </w:rPr>
        <w:t>ониторинг работы</w:t>
      </w:r>
      <w:r w:rsidR="001D6938" w:rsidRPr="0032265C">
        <w:rPr>
          <w:rFonts w:ascii="Times New Roman" w:hAnsi="Times New Roman" w:cs="Times New Roman"/>
          <w:sz w:val="24"/>
          <w:szCs w:val="24"/>
        </w:rPr>
        <w:t xml:space="preserve"> Оборудования;    </w:t>
      </w:r>
    </w:p>
    <w:p w:rsidR="001D6938" w:rsidRPr="0032265C" w:rsidRDefault="000E7BDA" w:rsidP="00A65A72">
      <w:pPr>
        <w:pStyle w:val="a4"/>
        <w:numPr>
          <w:ilvl w:val="0"/>
          <w:numId w:val="19"/>
        </w:numPr>
        <w:tabs>
          <w:tab w:val="left" w:pos="1134"/>
        </w:tabs>
        <w:spacing w:after="10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6938" w:rsidRPr="0032265C">
        <w:rPr>
          <w:rFonts w:ascii="Times New Roman" w:hAnsi="Times New Roman" w:cs="Times New Roman"/>
          <w:sz w:val="24"/>
          <w:szCs w:val="24"/>
        </w:rPr>
        <w:t>росмотр сообщений и логов работы Оборудования;</w:t>
      </w:r>
    </w:p>
    <w:p w:rsidR="001D6938" w:rsidRPr="0032265C" w:rsidRDefault="000E7BDA" w:rsidP="00A65A72">
      <w:pPr>
        <w:pStyle w:val="a4"/>
        <w:numPr>
          <w:ilvl w:val="0"/>
          <w:numId w:val="19"/>
        </w:numPr>
        <w:tabs>
          <w:tab w:val="left" w:pos="1134"/>
        </w:tabs>
        <w:spacing w:after="10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6938" w:rsidRPr="0032265C">
        <w:rPr>
          <w:rFonts w:ascii="Times New Roman" w:hAnsi="Times New Roman" w:cs="Times New Roman"/>
          <w:sz w:val="24"/>
          <w:szCs w:val="24"/>
        </w:rPr>
        <w:t>рофилактические работы с оборудованием, по согласованию сторон с возможностью остановки оборудования;</w:t>
      </w:r>
    </w:p>
    <w:p w:rsidR="001D6938" w:rsidRPr="0032265C" w:rsidRDefault="000E7BDA" w:rsidP="00A65A72">
      <w:pPr>
        <w:pStyle w:val="a4"/>
        <w:numPr>
          <w:ilvl w:val="0"/>
          <w:numId w:val="19"/>
        </w:numPr>
        <w:tabs>
          <w:tab w:val="left" w:pos="1134"/>
        </w:tabs>
        <w:spacing w:after="10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6938" w:rsidRPr="0032265C">
        <w:rPr>
          <w:rFonts w:ascii="Times New Roman" w:hAnsi="Times New Roman" w:cs="Times New Roman"/>
          <w:sz w:val="24"/>
          <w:szCs w:val="24"/>
        </w:rPr>
        <w:t xml:space="preserve">изуальный осмотр оборудования и всех его составляющих/соединяющих компонентов; </w:t>
      </w:r>
    </w:p>
    <w:p w:rsidR="001D6938" w:rsidRPr="0032265C" w:rsidRDefault="000E7BDA" w:rsidP="00A65A72">
      <w:pPr>
        <w:pStyle w:val="a4"/>
        <w:numPr>
          <w:ilvl w:val="0"/>
          <w:numId w:val="19"/>
        </w:numPr>
        <w:tabs>
          <w:tab w:val="left" w:pos="1134"/>
        </w:tabs>
        <w:spacing w:after="10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D6938" w:rsidRPr="0032265C">
        <w:rPr>
          <w:rFonts w:ascii="Times New Roman" w:hAnsi="Times New Roman" w:cs="Times New Roman"/>
          <w:sz w:val="24"/>
          <w:szCs w:val="24"/>
        </w:rPr>
        <w:t>онтроль климатических условий для работоспособности оборудования;</w:t>
      </w:r>
    </w:p>
    <w:p w:rsidR="001D6938" w:rsidRDefault="000E7BDA" w:rsidP="00A65A72">
      <w:pPr>
        <w:pStyle w:val="a4"/>
        <w:numPr>
          <w:ilvl w:val="0"/>
          <w:numId w:val="19"/>
        </w:numPr>
        <w:tabs>
          <w:tab w:val="left" w:pos="1134"/>
        </w:tabs>
        <w:spacing w:after="10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D6938" w:rsidRPr="0032265C">
        <w:rPr>
          <w:rFonts w:ascii="Times New Roman" w:hAnsi="Times New Roman" w:cs="Times New Roman"/>
          <w:sz w:val="24"/>
          <w:szCs w:val="24"/>
        </w:rPr>
        <w:t xml:space="preserve">редоставления отчетов и рекомендаций.  </w:t>
      </w:r>
    </w:p>
    <w:p w:rsidR="001D6938" w:rsidRPr="00DD4FA8" w:rsidRDefault="001D6938" w:rsidP="00492456">
      <w:pPr>
        <w:pStyle w:val="a4"/>
        <w:numPr>
          <w:ilvl w:val="0"/>
          <w:numId w:val="15"/>
        </w:numPr>
        <w:tabs>
          <w:tab w:val="left" w:pos="993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Поддержание и восстановление работоспособности оборудования и ПО.</w:t>
      </w:r>
    </w:p>
    <w:p w:rsidR="001D6938" w:rsidRPr="00A65A72" w:rsidRDefault="001D6938" w:rsidP="00A65A7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456">
        <w:rPr>
          <w:rFonts w:ascii="Times New Roman" w:hAnsi="Times New Roman" w:cs="Times New Roman"/>
          <w:sz w:val="24"/>
          <w:szCs w:val="24"/>
        </w:rPr>
        <w:t>Первичная диагностика и выявление неисправных узлов.</w:t>
      </w:r>
      <w:r w:rsidR="00A65A72">
        <w:rPr>
          <w:rFonts w:ascii="Times New Roman" w:hAnsi="Times New Roman" w:cs="Times New Roman"/>
          <w:sz w:val="24"/>
          <w:szCs w:val="24"/>
        </w:rPr>
        <w:t xml:space="preserve"> </w:t>
      </w:r>
      <w:r w:rsidRPr="00A65A72">
        <w:rPr>
          <w:rFonts w:ascii="Times New Roman" w:hAnsi="Times New Roman" w:cs="Times New Roman"/>
          <w:sz w:val="24"/>
          <w:szCs w:val="24"/>
        </w:rPr>
        <w:t>Бесплатная замена или ремонт неисправных компонентов оборудования. В случае выхода из строя обслуживаемого оборудования обеспечивается бесплатная диагностика, замена, ремонт или предоставление эквивалентных аналог неисправных компонентов. Доставка необходимого оборудования и компонентов осуществляется специалистами Исполнителя/сервисного центра.</w:t>
      </w:r>
    </w:p>
    <w:p w:rsidR="00A65A72" w:rsidRDefault="001D6938" w:rsidP="00A65A72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Замена вышедшего из строя оборудования (компонента) осуществляется в течение 1 (одного) следующего рабочего дня при наличии на локальном складе. В случае отсутствия на складе – замена осуществляется в течение 7 (семи) рабочих дней.</w:t>
      </w:r>
    </w:p>
    <w:p w:rsidR="001D6938" w:rsidRPr="00A65A72" w:rsidRDefault="001D6938" w:rsidP="00A65A72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A72">
        <w:rPr>
          <w:rFonts w:ascii="Times New Roman" w:hAnsi="Times New Roman" w:cs="Times New Roman"/>
          <w:sz w:val="24"/>
          <w:szCs w:val="24"/>
        </w:rPr>
        <w:t>Проведение полной диагностики оборудования после замены неисправного узла.</w:t>
      </w:r>
    </w:p>
    <w:p w:rsidR="000E7BDA" w:rsidRDefault="001D6938" w:rsidP="0032265C">
      <w:pPr>
        <w:spacing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Работы специалиста Исполнителя/сервисного центра осуществляются до полного восстановления функ</w:t>
      </w:r>
      <w:r w:rsidR="000E7BDA">
        <w:rPr>
          <w:rFonts w:ascii="Times New Roman" w:hAnsi="Times New Roman" w:cs="Times New Roman"/>
          <w:sz w:val="24"/>
          <w:szCs w:val="24"/>
        </w:rPr>
        <w:t>ционирования системы Заказчика.</w:t>
      </w:r>
    </w:p>
    <w:p w:rsidR="001D6938" w:rsidRPr="00DD4FA8" w:rsidRDefault="001D6938" w:rsidP="000E7BD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Срок восстановления работоспособност</w:t>
      </w:r>
      <w:r w:rsidR="000E7BDA">
        <w:rPr>
          <w:rFonts w:ascii="Times New Roman" w:hAnsi="Times New Roman" w:cs="Times New Roman"/>
          <w:sz w:val="24"/>
          <w:szCs w:val="24"/>
        </w:rPr>
        <w:t>и обслуживаемого оборудования – н</w:t>
      </w:r>
      <w:r w:rsidRPr="00DD4FA8">
        <w:rPr>
          <w:rFonts w:ascii="Times New Roman" w:hAnsi="Times New Roman" w:cs="Times New Roman"/>
          <w:sz w:val="24"/>
          <w:szCs w:val="24"/>
        </w:rPr>
        <w:t>е позднее двух календарных дней.  Закрытие заявки при стабильной работе оборудования в целом и отсутствия сбое</w:t>
      </w:r>
      <w:r w:rsidR="00A65A72">
        <w:rPr>
          <w:rFonts w:ascii="Times New Roman" w:hAnsi="Times New Roman" w:cs="Times New Roman"/>
          <w:sz w:val="24"/>
          <w:szCs w:val="24"/>
        </w:rPr>
        <w:t>в.</w:t>
      </w:r>
    </w:p>
    <w:p w:rsidR="001D6938" w:rsidRPr="00DD4FA8" w:rsidRDefault="001D6938" w:rsidP="00A65A72">
      <w:pPr>
        <w:pStyle w:val="a4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Время реакции</w:t>
      </w:r>
      <w:r w:rsidR="000E7BDA">
        <w:rPr>
          <w:rFonts w:ascii="Times New Roman" w:hAnsi="Times New Roman" w:cs="Times New Roman"/>
          <w:sz w:val="24"/>
          <w:szCs w:val="24"/>
        </w:rPr>
        <w:t xml:space="preserve"> на инциденты</w:t>
      </w:r>
      <w:r w:rsidRPr="00DD4FA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6938" w:rsidRPr="00DD4FA8" w:rsidRDefault="001D6938" w:rsidP="00492456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Поддержка на месте: работы на </w:t>
      </w:r>
      <w:r w:rsidR="00CD4EC7" w:rsidRPr="00DD4FA8">
        <w:rPr>
          <w:rFonts w:ascii="Times New Roman" w:hAnsi="Times New Roman" w:cs="Times New Roman"/>
          <w:sz w:val="24"/>
          <w:szCs w:val="24"/>
        </w:rPr>
        <w:t>месте эксплуатации оборудования</w:t>
      </w:r>
      <w:r w:rsidRPr="00DD4FA8">
        <w:rPr>
          <w:rFonts w:ascii="Times New Roman" w:hAnsi="Times New Roman" w:cs="Times New Roman"/>
          <w:sz w:val="24"/>
          <w:szCs w:val="24"/>
        </w:rPr>
        <w:t xml:space="preserve"> по восстановлению работоспособности оборудования в течение 24 часов в день, 7 дней в неделю, включая нерабочие дни - для заявок с приоритетом «СРОЧНАЯ» и «СЕРЬЕЗНАЯ». И с 9:00 до 18:00 в рабочие дни, исключая праздничные и выходные - для заявок с приоритетом «НЕКРИТИЧНАЯ».</w:t>
      </w:r>
    </w:p>
    <w:p w:rsidR="001D6938" w:rsidRPr="00DD4FA8" w:rsidRDefault="001D6938" w:rsidP="00492456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При подаче заявки на обслуживание Заказчик определяет ее срочность: СРОЧНАЯ, СЕРЬЕЗНАЯ И НЕКРИТИЧНАЯ:</w:t>
      </w:r>
    </w:p>
    <w:p w:rsidR="001D6938" w:rsidRPr="00492456" w:rsidRDefault="001D6938" w:rsidP="00492456">
      <w:pPr>
        <w:pStyle w:val="a4"/>
        <w:numPr>
          <w:ilvl w:val="0"/>
          <w:numId w:val="23"/>
        </w:numPr>
        <w:tabs>
          <w:tab w:val="left" w:pos="851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456">
        <w:rPr>
          <w:rFonts w:ascii="Times New Roman" w:hAnsi="Times New Roman" w:cs="Times New Roman"/>
          <w:sz w:val="24"/>
          <w:szCs w:val="24"/>
        </w:rPr>
        <w:t>СРОЧНАЯ (Оборудование   выведено из строя, падание производительности. Риск потери или повреждения данных. Не прохождение важных операций обслуживания (резервного копирования, синхронизации данных и т.п.). Остановка обслуживаемого оборудования и ПО из-за аппаратного или программного сбоя. По</w:t>
      </w:r>
      <w:r w:rsidR="00CD4EC7" w:rsidRPr="00492456">
        <w:rPr>
          <w:rFonts w:ascii="Times New Roman" w:hAnsi="Times New Roman" w:cs="Times New Roman"/>
          <w:sz w:val="24"/>
          <w:szCs w:val="24"/>
        </w:rPr>
        <w:t>теряны или повреждены данные</w:t>
      </w:r>
      <w:r w:rsidRPr="00492456">
        <w:rPr>
          <w:rFonts w:ascii="Times New Roman" w:hAnsi="Times New Roman" w:cs="Times New Roman"/>
          <w:sz w:val="24"/>
          <w:szCs w:val="24"/>
        </w:rPr>
        <w:t xml:space="preserve"> – Исполнитель приложит разумные усилия, чтобы перезвонить Заказчику в течение тридцати (30) минут после получения заявки на обслуживание и прибыть на место установки Оборудования для оказания поддержки в отношении аппаратных средств и ПО, в течение одного (1) часа (в пределах </w:t>
      </w:r>
      <w:proofErr w:type="spellStart"/>
      <w:r w:rsidRPr="00492456">
        <w:rPr>
          <w:rFonts w:ascii="Times New Roman" w:hAnsi="Times New Roman" w:cs="Times New Roman"/>
          <w:sz w:val="24"/>
          <w:szCs w:val="24"/>
        </w:rPr>
        <w:t>г.Ташкента</w:t>
      </w:r>
      <w:proofErr w:type="spellEnd"/>
      <w:r w:rsidRPr="00492456">
        <w:rPr>
          <w:rFonts w:ascii="Times New Roman" w:hAnsi="Times New Roman" w:cs="Times New Roman"/>
          <w:sz w:val="24"/>
          <w:szCs w:val="24"/>
        </w:rPr>
        <w:t>).</w:t>
      </w:r>
    </w:p>
    <w:p w:rsidR="001D6938" w:rsidRPr="00492456" w:rsidRDefault="001D6938" w:rsidP="00492456">
      <w:pPr>
        <w:pStyle w:val="a4"/>
        <w:numPr>
          <w:ilvl w:val="0"/>
          <w:numId w:val="23"/>
        </w:numPr>
        <w:tabs>
          <w:tab w:val="left" w:pos="851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456">
        <w:rPr>
          <w:rFonts w:ascii="Times New Roman" w:hAnsi="Times New Roman" w:cs="Times New Roman"/>
          <w:sz w:val="24"/>
          <w:szCs w:val="24"/>
        </w:rPr>
        <w:t>СЕРЬЕЗНАЯ (наличие серьезных неполадок в системе при сохранении частичной работоспособности)</w:t>
      </w:r>
      <w:r w:rsidR="00CD4EC7" w:rsidRPr="00492456">
        <w:rPr>
          <w:rFonts w:ascii="Times New Roman" w:hAnsi="Times New Roman" w:cs="Times New Roman"/>
          <w:sz w:val="24"/>
          <w:szCs w:val="24"/>
        </w:rPr>
        <w:t xml:space="preserve"> – </w:t>
      </w:r>
      <w:r w:rsidRPr="00492456">
        <w:rPr>
          <w:rFonts w:ascii="Times New Roman" w:hAnsi="Times New Roman" w:cs="Times New Roman"/>
          <w:sz w:val="24"/>
          <w:szCs w:val="24"/>
        </w:rPr>
        <w:t>Исполнитель приложит разумные усилия, чтобы перезвонить Заказчику в течение одного (1) часа после получения заявки на обслуживание и прибыть на место установки оборудования для оказания поддержки в отношении аппаратных средств в течение трех (3) часов (</w:t>
      </w:r>
      <w:proofErr w:type="spellStart"/>
      <w:r w:rsidRPr="00492456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492456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6B7F69" w:rsidRPr="00492456" w:rsidRDefault="001D6938" w:rsidP="00492456">
      <w:pPr>
        <w:pStyle w:val="a4"/>
        <w:numPr>
          <w:ilvl w:val="0"/>
          <w:numId w:val="23"/>
        </w:numPr>
        <w:tabs>
          <w:tab w:val="left" w:pos="851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456">
        <w:rPr>
          <w:rFonts w:ascii="Times New Roman" w:hAnsi="Times New Roman" w:cs="Times New Roman"/>
          <w:sz w:val="24"/>
          <w:szCs w:val="24"/>
        </w:rPr>
        <w:t>НЕКРИТИЧНАЯ (система функционирует нормально с незначительными сбоями, не влияющими на производительность и функциональность) – Исполнитель приложит разумные усилия, чтобы перезвонить Заказчику в течение четырех (4) часов после получения заявки на обслуживание и прибыть на место нахождения Оборудования   для оказания поддержки в отношении аппаратных средств и ПО, во взаимно согласованные сроки.</w:t>
      </w:r>
    </w:p>
    <w:p w:rsidR="008E0D1C" w:rsidRPr="00DD4FA8" w:rsidRDefault="008E0D1C" w:rsidP="007F1A9E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55196368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Область применения</w:t>
      </w:r>
      <w:bookmarkEnd w:id="12"/>
    </w:p>
    <w:p w:rsidR="0094244D" w:rsidRPr="00DD4FA8" w:rsidRDefault="000A2EEE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Место использования </w:t>
      </w:r>
      <w:r w:rsidR="006B7F69" w:rsidRPr="00DD4FA8">
        <w:rPr>
          <w:rFonts w:ascii="Times New Roman" w:hAnsi="Times New Roman" w:cs="Times New Roman"/>
          <w:sz w:val="24"/>
          <w:szCs w:val="24"/>
        </w:rPr>
        <w:t>Услуг</w:t>
      </w:r>
      <w:r w:rsidRPr="00DD4FA8">
        <w:rPr>
          <w:rFonts w:ascii="Times New Roman" w:hAnsi="Times New Roman" w:cs="Times New Roman"/>
          <w:sz w:val="24"/>
          <w:szCs w:val="24"/>
        </w:rPr>
        <w:t xml:space="preserve">: </w:t>
      </w:r>
      <w:r w:rsidR="006B7F69" w:rsidRPr="00DD4FA8">
        <w:rPr>
          <w:rFonts w:ascii="Times New Roman" w:hAnsi="Times New Roman" w:cs="Times New Roman"/>
          <w:sz w:val="24"/>
          <w:szCs w:val="24"/>
        </w:rPr>
        <w:t xml:space="preserve">локально, по фактическому адресу Заказчика, а именно: Республика Узбекистан, </w:t>
      </w:r>
      <w:proofErr w:type="spellStart"/>
      <w:r w:rsidR="006B7F69" w:rsidRPr="00DD4FA8">
        <w:rPr>
          <w:rFonts w:ascii="Times New Roman" w:hAnsi="Times New Roman" w:cs="Times New Roman"/>
          <w:sz w:val="24"/>
          <w:szCs w:val="24"/>
        </w:rPr>
        <w:t>Юнусабадский</w:t>
      </w:r>
      <w:proofErr w:type="spellEnd"/>
      <w:r w:rsidR="006B7F69" w:rsidRPr="00DD4FA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7F69" w:rsidRPr="00DD4FA8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="006B7F69" w:rsidRPr="00DD4FA8">
        <w:rPr>
          <w:rFonts w:ascii="Times New Roman" w:hAnsi="Times New Roman" w:cs="Times New Roman"/>
          <w:sz w:val="24"/>
          <w:szCs w:val="24"/>
        </w:rPr>
        <w:t xml:space="preserve">, пр. Амира </w:t>
      </w:r>
      <w:proofErr w:type="spellStart"/>
      <w:r w:rsidR="006B7F69" w:rsidRPr="00DD4FA8">
        <w:rPr>
          <w:rFonts w:ascii="Times New Roman" w:hAnsi="Times New Roman" w:cs="Times New Roman"/>
          <w:sz w:val="24"/>
          <w:szCs w:val="24"/>
        </w:rPr>
        <w:t>Темура</w:t>
      </w:r>
      <w:proofErr w:type="spellEnd"/>
      <w:r w:rsidR="006B7F69" w:rsidRPr="00DD4FA8">
        <w:rPr>
          <w:rFonts w:ascii="Times New Roman" w:hAnsi="Times New Roman" w:cs="Times New Roman"/>
          <w:sz w:val="24"/>
          <w:szCs w:val="24"/>
        </w:rPr>
        <w:t>, 24, (Центральный офис, ООО «UMS»)</w:t>
      </w:r>
      <w:r w:rsidRPr="00DD4FA8">
        <w:rPr>
          <w:rFonts w:ascii="Times New Roman" w:hAnsi="Times New Roman" w:cs="Times New Roman"/>
          <w:sz w:val="24"/>
          <w:szCs w:val="24"/>
        </w:rPr>
        <w:t xml:space="preserve"> </w:t>
      </w:r>
      <w:r w:rsidR="006B7F69" w:rsidRPr="00DD4FA8">
        <w:rPr>
          <w:rFonts w:ascii="Times New Roman" w:hAnsi="Times New Roman" w:cs="Times New Roman"/>
          <w:sz w:val="24"/>
          <w:szCs w:val="24"/>
        </w:rPr>
        <w:t>и удаленно</w:t>
      </w:r>
      <w:r w:rsidR="00CD4EC7" w:rsidRPr="00DD4FA8">
        <w:rPr>
          <w:rFonts w:ascii="Times New Roman" w:hAnsi="Times New Roman" w:cs="Times New Roman"/>
          <w:sz w:val="24"/>
          <w:szCs w:val="24"/>
        </w:rPr>
        <w:t>,</w:t>
      </w:r>
      <w:r w:rsidRPr="00DD4FA8">
        <w:rPr>
          <w:rFonts w:ascii="Times New Roman" w:hAnsi="Times New Roman" w:cs="Times New Roman"/>
          <w:sz w:val="24"/>
          <w:szCs w:val="24"/>
        </w:rPr>
        <w:t xml:space="preserve"> п</w:t>
      </w:r>
      <w:r w:rsidR="006B7F69" w:rsidRPr="00DD4FA8">
        <w:rPr>
          <w:rFonts w:ascii="Times New Roman" w:hAnsi="Times New Roman" w:cs="Times New Roman"/>
          <w:sz w:val="24"/>
          <w:szCs w:val="24"/>
        </w:rPr>
        <w:t xml:space="preserve">ри этом используются стандартные каналы связи с возможностью шифрования данных, в соответствии с согласованными регламентами проведения подобных работ между Заказчиком и Исполнителем.  </w:t>
      </w:r>
    </w:p>
    <w:p w:rsidR="008E0D1C" w:rsidRPr="00DD4FA8" w:rsidRDefault="008E0D1C" w:rsidP="007F1A9E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55196369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>Общие требования к участнику</w:t>
      </w:r>
      <w:bookmarkEnd w:id="13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:rsidR="000A2EEE" w:rsidRPr="00DD4FA8" w:rsidRDefault="000A2EEE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8A6FAB" w:rsidRPr="00DD4FA8">
        <w:rPr>
          <w:rFonts w:ascii="Times New Roman" w:hAnsi="Times New Roman" w:cs="Times New Roman"/>
          <w:sz w:val="24"/>
          <w:szCs w:val="24"/>
        </w:rPr>
        <w:t xml:space="preserve">технической поддержки, в рамках сервисного контракта, основывается на </w:t>
      </w:r>
      <w:r w:rsidRPr="00DD4FA8">
        <w:rPr>
          <w:rFonts w:ascii="Times New Roman" w:hAnsi="Times New Roman" w:cs="Times New Roman"/>
          <w:sz w:val="24"/>
          <w:szCs w:val="24"/>
        </w:rPr>
        <w:t>том, что единственным способом достижения высокого качества услуг являются непрерывные, совместные с Исполнителем, целенаправленные действия по обеспечению отказоустойчивой работы Оборудования.</w:t>
      </w:r>
    </w:p>
    <w:p w:rsidR="000A2EEE" w:rsidRPr="00DD4FA8" w:rsidRDefault="000A2EEE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Обязательное наличие на складе Исполнителя необходимого количества запасных частей для оперативного восстановления работоспособности Оборудования Заказчика.  </w:t>
      </w:r>
    </w:p>
    <w:p w:rsidR="000A2EEE" w:rsidRPr="00DD4FA8" w:rsidRDefault="000A2EEE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Исполнитель должен иметь Авторизованную Компанией Производителем Службу Технической Поддержки, занимающуюся сервисными запросами Заказчика. Заказчику должна быть предоставлена возможность адресовать вопросы в техническую поддержку Исполнителя.    </w:t>
      </w:r>
    </w:p>
    <w:p w:rsidR="0094244D" w:rsidRPr="00DD4FA8" w:rsidRDefault="000A2EEE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Исполнит</w:t>
      </w:r>
      <w:r w:rsidR="00874E08">
        <w:rPr>
          <w:rFonts w:ascii="Times New Roman" w:hAnsi="Times New Roman" w:cs="Times New Roman"/>
          <w:sz w:val="24"/>
          <w:szCs w:val="24"/>
        </w:rPr>
        <w:t xml:space="preserve">ель должен иметь подтвержденный </w:t>
      </w:r>
      <w:r w:rsidRPr="00DD4FA8">
        <w:rPr>
          <w:rFonts w:ascii="Times New Roman" w:hAnsi="Times New Roman" w:cs="Times New Roman"/>
          <w:sz w:val="24"/>
          <w:szCs w:val="24"/>
        </w:rPr>
        <w:t>опыт работы по предоставлению обозначенных услуг, им</w:t>
      </w:r>
      <w:r w:rsidR="00874E08">
        <w:rPr>
          <w:rFonts w:ascii="Times New Roman" w:hAnsi="Times New Roman" w:cs="Times New Roman"/>
          <w:sz w:val="24"/>
          <w:szCs w:val="24"/>
        </w:rPr>
        <w:t xml:space="preserve">еть в своем штате </w:t>
      </w:r>
      <w:r w:rsidRPr="00DD4FA8">
        <w:rPr>
          <w:rFonts w:ascii="Times New Roman" w:hAnsi="Times New Roman" w:cs="Times New Roman"/>
          <w:sz w:val="24"/>
          <w:szCs w:val="24"/>
        </w:rPr>
        <w:t xml:space="preserve">сертифицированных специалистов по оказанию заявленных услуг.  </w:t>
      </w:r>
    </w:p>
    <w:p w:rsidR="008E0D1C" w:rsidRPr="00DD4FA8" w:rsidRDefault="008E0D1C" w:rsidP="007F1A9E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55196370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>Сроки оказания услуг</w:t>
      </w:r>
      <w:bookmarkEnd w:id="14"/>
    </w:p>
    <w:p w:rsidR="000A2EEE" w:rsidRPr="00DD4FA8" w:rsidRDefault="000A2EEE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Требуемый срок предоставления технической поддержки Оборудо</w:t>
      </w:r>
      <w:r w:rsidR="007F1A9E">
        <w:rPr>
          <w:rFonts w:ascii="Times New Roman" w:hAnsi="Times New Roman" w:cs="Times New Roman"/>
          <w:sz w:val="24"/>
          <w:szCs w:val="24"/>
        </w:rPr>
        <w:t>вания – 12 (двенадцать) месяцев</w:t>
      </w:r>
      <w:r w:rsidR="00805CE2" w:rsidRPr="00805CE2">
        <w:rPr>
          <w:rFonts w:ascii="Times New Roman" w:hAnsi="Times New Roman" w:cs="Times New Roman"/>
          <w:sz w:val="24"/>
          <w:szCs w:val="24"/>
        </w:rPr>
        <w:t xml:space="preserve"> </w:t>
      </w:r>
      <w:r w:rsidR="00805CE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5CE2" w:rsidRPr="00805CE2">
        <w:rPr>
          <w:rFonts w:ascii="Times New Roman" w:hAnsi="Times New Roman" w:cs="Times New Roman"/>
          <w:sz w:val="24"/>
          <w:szCs w:val="24"/>
        </w:rPr>
        <w:t xml:space="preserve"> 2</w:t>
      </w:r>
      <w:r w:rsidR="00FE182D">
        <w:rPr>
          <w:rFonts w:ascii="Times New Roman" w:hAnsi="Times New Roman" w:cs="Times New Roman"/>
          <w:sz w:val="24"/>
          <w:szCs w:val="24"/>
        </w:rPr>
        <w:t>4</w:t>
      </w:r>
      <w:r w:rsidR="00805CE2" w:rsidRPr="00805CE2">
        <w:rPr>
          <w:rFonts w:ascii="Times New Roman" w:hAnsi="Times New Roman" w:cs="Times New Roman"/>
          <w:sz w:val="24"/>
          <w:szCs w:val="24"/>
        </w:rPr>
        <w:t xml:space="preserve"> </w:t>
      </w:r>
      <w:r w:rsidR="00805CE2">
        <w:rPr>
          <w:rFonts w:ascii="Times New Roman" w:hAnsi="Times New Roman" w:cs="Times New Roman"/>
          <w:sz w:val="24"/>
          <w:szCs w:val="24"/>
        </w:rPr>
        <w:t>марта 202</w:t>
      </w:r>
      <w:r w:rsidR="007A6A56">
        <w:rPr>
          <w:rFonts w:ascii="Times New Roman" w:hAnsi="Times New Roman" w:cs="Times New Roman"/>
          <w:sz w:val="24"/>
          <w:szCs w:val="24"/>
        </w:rPr>
        <w:t>5</w:t>
      </w:r>
      <w:r w:rsidR="00805CE2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FE182D">
        <w:rPr>
          <w:rFonts w:ascii="Times New Roman" w:hAnsi="Times New Roman" w:cs="Times New Roman"/>
          <w:sz w:val="24"/>
          <w:szCs w:val="24"/>
        </w:rPr>
        <w:t>3</w:t>
      </w:r>
      <w:r w:rsidR="00805CE2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7A6A56">
        <w:rPr>
          <w:rFonts w:ascii="Times New Roman" w:hAnsi="Times New Roman" w:cs="Times New Roman"/>
          <w:sz w:val="24"/>
          <w:szCs w:val="24"/>
        </w:rPr>
        <w:t>6</w:t>
      </w:r>
      <w:r w:rsidR="00805C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7A6A56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7F1A9E">
        <w:rPr>
          <w:rFonts w:ascii="Times New Roman" w:hAnsi="Times New Roman" w:cs="Times New Roman"/>
          <w:sz w:val="24"/>
          <w:szCs w:val="24"/>
        </w:rPr>
        <w:t>.</w:t>
      </w:r>
    </w:p>
    <w:p w:rsidR="007F1A9E" w:rsidRPr="00DD4FA8" w:rsidRDefault="007F1A9E" w:rsidP="0037737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Список оборудования</w:t>
      </w:r>
      <w:r w:rsidR="000A2EEE" w:rsidRPr="00DD4FA8">
        <w:rPr>
          <w:rFonts w:ascii="Times New Roman" w:hAnsi="Times New Roman" w:cs="Times New Roman"/>
          <w:sz w:val="24"/>
          <w:szCs w:val="24"/>
        </w:rPr>
        <w:t>, установленного на объектах ООО «</w:t>
      </w:r>
      <w:r w:rsidR="000A2EEE" w:rsidRPr="00DD4FA8">
        <w:rPr>
          <w:rFonts w:ascii="Times New Roman" w:hAnsi="Times New Roman" w:cs="Times New Roman"/>
          <w:sz w:val="24"/>
          <w:szCs w:val="24"/>
          <w:lang w:val="en-US"/>
        </w:rPr>
        <w:t>UMS</w:t>
      </w:r>
      <w:r w:rsidR="000A2EEE" w:rsidRPr="00DD4FA8">
        <w:rPr>
          <w:rFonts w:ascii="Times New Roman" w:hAnsi="Times New Roman" w:cs="Times New Roman"/>
          <w:sz w:val="24"/>
          <w:szCs w:val="24"/>
        </w:rPr>
        <w:t xml:space="preserve">», для </w:t>
      </w:r>
      <w:r w:rsidR="008A6FAB" w:rsidRPr="00DD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технической поддержкой:</w:t>
      </w:r>
    </w:p>
    <w:p w:rsidR="008A6FAB" w:rsidRPr="00377375" w:rsidRDefault="008A6FAB" w:rsidP="001D6938">
      <w:pPr>
        <w:spacing w:after="10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</w:t>
      </w:r>
      <w:r w:rsidR="008E0D1C" w:rsidRPr="0037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536"/>
        <w:gridCol w:w="4786"/>
        <w:gridCol w:w="1842"/>
        <w:gridCol w:w="993"/>
      </w:tblGrid>
      <w:tr w:rsidR="00DD4FA8" w:rsidRPr="00DD4FA8" w:rsidTr="003B1C7F">
        <w:trPr>
          <w:trHeight w:val="504"/>
        </w:trPr>
        <w:tc>
          <w:tcPr>
            <w:tcW w:w="336" w:type="dxa"/>
            <w:shd w:val="clear" w:color="auto" w:fill="BDD6EE" w:themeFill="accent1" w:themeFillTint="66"/>
            <w:vAlign w:val="center"/>
          </w:tcPr>
          <w:p w:rsidR="003F3FDC" w:rsidRPr="00DD4FA8" w:rsidRDefault="003F3FDC" w:rsidP="0032265C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 w:rsidR="003F3FDC" w:rsidRPr="00DD4FA8" w:rsidRDefault="003F3FDC" w:rsidP="000E7B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D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Инв.номер</w:t>
            </w:r>
            <w:proofErr w:type="spellEnd"/>
            <w:r w:rsidRPr="00DD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D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UMS</w:t>
            </w:r>
          </w:p>
        </w:tc>
        <w:tc>
          <w:tcPr>
            <w:tcW w:w="4786" w:type="dxa"/>
            <w:shd w:val="clear" w:color="auto" w:fill="BDD6EE" w:themeFill="accent1" w:themeFillTint="66"/>
            <w:noWrap/>
            <w:vAlign w:val="center"/>
            <w:hideMark/>
          </w:tcPr>
          <w:p w:rsidR="003F3FDC" w:rsidRPr="00DD4FA8" w:rsidRDefault="003F3FDC" w:rsidP="000E7B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842" w:type="dxa"/>
            <w:shd w:val="clear" w:color="auto" w:fill="BDD6EE" w:themeFill="accent1" w:themeFillTint="66"/>
            <w:noWrap/>
            <w:vAlign w:val="center"/>
            <w:hideMark/>
          </w:tcPr>
          <w:p w:rsidR="003F3FDC" w:rsidRPr="00DD4FA8" w:rsidRDefault="003F3FDC" w:rsidP="000E7B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4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SerialNumber</w:t>
            </w:r>
            <w:proofErr w:type="spellEnd"/>
          </w:p>
        </w:tc>
        <w:tc>
          <w:tcPr>
            <w:tcW w:w="993" w:type="dxa"/>
            <w:shd w:val="clear" w:color="auto" w:fill="BDD6EE" w:themeFill="accent1" w:themeFillTint="66"/>
            <w:noWrap/>
            <w:vAlign w:val="center"/>
            <w:hideMark/>
          </w:tcPr>
          <w:p w:rsidR="003F3FDC" w:rsidRPr="00DD4FA8" w:rsidRDefault="003F3FDC" w:rsidP="000E7B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D4FA8" w:rsidRPr="0032265C" w:rsidTr="003B1C7F">
        <w:trPr>
          <w:trHeight w:val="650"/>
        </w:trPr>
        <w:tc>
          <w:tcPr>
            <w:tcW w:w="336" w:type="dxa"/>
            <w:vAlign w:val="center"/>
          </w:tcPr>
          <w:p w:rsidR="003F3FDC" w:rsidRPr="0032265C" w:rsidRDefault="003F3FDC" w:rsidP="001D6938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22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36" w:type="dxa"/>
            <w:vAlign w:val="center"/>
          </w:tcPr>
          <w:p w:rsidR="003F3FDC" w:rsidRPr="0032265C" w:rsidRDefault="009A0FF2" w:rsidP="0032265C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5C">
              <w:rPr>
                <w:rFonts w:ascii="Times New Roman" w:hAnsi="Times New Roman" w:cs="Times New Roman"/>
                <w:b/>
                <w:sz w:val="24"/>
                <w:szCs w:val="24"/>
              </w:rPr>
              <w:t>00000176780</w:t>
            </w:r>
          </w:p>
        </w:tc>
        <w:tc>
          <w:tcPr>
            <w:tcW w:w="4786" w:type="dxa"/>
            <w:shd w:val="clear" w:color="auto" w:fill="auto"/>
            <w:noWrap/>
            <w:vAlign w:val="center"/>
            <w:hideMark/>
          </w:tcPr>
          <w:p w:rsidR="003F3FDC" w:rsidRPr="0032265C" w:rsidRDefault="0032265C" w:rsidP="001D6938">
            <w:pPr>
              <w:spacing w:after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22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АПК</w:t>
            </w:r>
            <w:r w:rsidRPr="00322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22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Exadata</w:t>
            </w:r>
            <w:proofErr w:type="spellEnd"/>
            <w:r w:rsidRPr="00322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Database Machine X9M-2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3FDC" w:rsidRPr="0032265C" w:rsidRDefault="0032265C" w:rsidP="00CD4EC7">
            <w:pPr>
              <w:spacing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2308XC803F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3FDC" w:rsidRPr="0032265C" w:rsidRDefault="003F3FDC" w:rsidP="001D6938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404953" w:rsidRPr="00DD4FA8" w:rsidRDefault="00404953" w:rsidP="0032265C">
      <w:pPr>
        <w:pStyle w:val="1"/>
        <w:spacing w:before="0"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55196371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безопасности</w:t>
      </w:r>
      <w:bookmarkEnd w:id="15"/>
    </w:p>
    <w:p w:rsidR="008A6FAB" w:rsidRPr="00DD4FA8" w:rsidRDefault="008A6FAB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Исполнитель будет выполнять плановую и аварийную диагностику Оборудования с использованием персонала на месте эксплуатации или методом удаленного доступа к Оборудованию. </w:t>
      </w:r>
    </w:p>
    <w:p w:rsidR="008A6FAB" w:rsidRPr="00DD4FA8" w:rsidRDefault="008A6FAB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Все услуги должны соответствовать требованиям экологических, санитарно-гигиенических, противопожарных и других норм в соответствии с действующим законодательством Республики Узбекистан. </w:t>
      </w:r>
    </w:p>
    <w:p w:rsidR="008A6FAB" w:rsidRPr="00DD4FA8" w:rsidRDefault="008A6FAB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В процессе проведения периодического технического обслуживания Исполнителем должны проводиться внешний и внутренний осмотр и чистка технических средств, проверка контактных соединений, проверка параметров настроек работоспособности технических средств и тестирование их взаимодействия.</w:t>
      </w:r>
    </w:p>
    <w:p w:rsidR="0094244D" w:rsidRDefault="008A6FAB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lastRenderedPageBreak/>
        <w:t>Восстановление работоспособности технических средств должно проводиться Исполнителем в соответствии с инструкциями и документами</w:t>
      </w:r>
      <w:r w:rsidR="00404953" w:rsidRPr="00DD4FA8">
        <w:rPr>
          <w:rFonts w:ascii="Times New Roman" w:hAnsi="Times New Roman" w:cs="Times New Roman"/>
          <w:sz w:val="24"/>
          <w:szCs w:val="24"/>
        </w:rPr>
        <w:t xml:space="preserve"> </w:t>
      </w:r>
      <w:r w:rsidR="00CD4EC7" w:rsidRPr="00DD4FA8">
        <w:rPr>
          <w:rFonts w:ascii="Times New Roman" w:hAnsi="Times New Roman" w:cs="Times New Roman"/>
          <w:sz w:val="24"/>
          <w:szCs w:val="24"/>
        </w:rPr>
        <w:t>Производителя</w:t>
      </w:r>
      <w:r w:rsidRPr="00DD4FA8">
        <w:rPr>
          <w:rFonts w:ascii="Times New Roman" w:hAnsi="Times New Roman" w:cs="Times New Roman"/>
          <w:sz w:val="24"/>
          <w:szCs w:val="24"/>
        </w:rPr>
        <w:t xml:space="preserve"> по восстановлению работоспособности технических средств Оборудования и завершать</w:t>
      </w:r>
      <w:r w:rsidR="00A65A72">
        <w:rPr>
          <w:rFonts w:ascii="Times New Roman" w:hAnsi="Times New Roman" w:cs="Times New Roman"/>
          <w:sz w:val="24"/>
          <w:szCs w:val="24"/>
        </w:rPr>
        <w:t>ся проведением их тестирования.</w:t>
      </w:r>
    </w:p>
    <w:p w:rsidR="00A65A72" w:rsidRPr="00DD4FA8" w:rsidRDefault="00A65A72" w:rsidP="00A65A72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55196372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>Требования по правилам сдачи и приёмки</w:t>
      </w:r>
      <w:bookmarkEnd w:id="16"/>
    </w:p>
    <w:p w:rsidR="008A6FAB" w:rsidRPr="00DD4FA8" w:rsidRDefault="008A6FAB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Сдача-приемка услуг за период поддержки должна осуществляться на ежемесячной основе на основании счета фактуры и Акта сдачи-приемки оказанных услуг за соответствующий период.</w:t>
      </w:r>
    </w:p>
    <w:p w:rsidR="008A6FAB" w:rsidRPr="00DD4FA8" w:rsidRDefault="008A6FAB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 Ежемесячно по факту оказания услуг, с момента получения предоплаты Исполнитель оказывает ежемесячную услугу по технической поддержке оборудования, согласно объемам и перечню указанных в Таблице № </w:t>
      </w:r>
      <w:r w:rsidR="00102614" w:rsidRPr="00DD4FA8">
        <w:rPr>
          <w:rFonts w:ascii="Times New Roman" w:hAnsi="Times New Roman" w:cs="Times New Roman"/>
          <w:sz w:val="24"/>
          <w:szCs w:val="24"/>
        </w:rPr>
        <w:t>1</w:t>
      </w:r>
      <w:r w:rsidRPr="00DD4FA8">
        <w:rPr>
          <w:rFonts w:ascii="Times New Roman" w:hAnsi="Times New Roman" w:cs="Times New Roman"/>
          <w:sz w:val="24"/>
          <w:szCs w:val="24"/>
        </w:rPr>
        <w:t xml:space="preserve"> настоящего технического задания. Исполнитель предоставляет Заказчику счет-фактуру и Акт сдачи-приемки оказанных услуг за месяц в срок не позднее седьмого числа следующего месяца за отчетным.</w:t>
      </w:r>
    </w:p>
    <w:p w:rsidR="008A6FAB" w:rsidRPr="00DD4FA8" w:rsidRDefault="008A6FAB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Заказчик в течение 5 (пяти) рабочих дней с даты получения счет-фактуры и Акта сдачи-приемки оказанных Услуг подписывает их или возвращает Исполнителю с мотивированным отказом от приемки Услуг. В случае мотивированного отказа Заказчика от приемки услуг, Сторонами, в трехдневный срок, составляется и подписывается Акт выявленных недостатков и отступлений от условий заключенного Договора с указанием сроков их устранения. </w:t>
      </w:r>
    </w:p>
    <w:p w:rsidR="0094244D" w:rsidRPr="00DD4FA8" w:rsidRDefault="008A6FAB" w:rsidP="00A65A7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при приемке Услуг недостатки и отступления от условий заключенного Договора устраняются Исполнителем за свой счет в течение 10 (десяти) рабочих дней.</w:t>
      </w:r>
    </w:p>
    <w:p w:rsidR="00404953" w:rsidRPr="00DD4FA8" w:rsidRDefault="00404953" w:rsidP="001D6938">
      <w:pPr>
        <w:spacing w:after="1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55196373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объёму и/или сроку предоставления гарантий</w:t>
      </w:r>
      <w:bookmarkEnd w:id="17"/>
    </w:p>
    <w:p w:rsidR="00754FA5" w:rsidRPr="00DD4FA8" w:rsidRDefault="00754FA5" w:rsidP="00A65A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Исполнитель производит отправку/ремонт и/или замену неисправного оборудования/детали.</w:t>
      </w:r>
    </w:p>
    <w:p w:rsidR="00754FA5" w:rsidRPr="00DD4FA8" w:rsidRDefault="00754FA5" w:rsidP="00A65A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Заказчик связывается по Горячей Линии (телефон, факс, e-</w:t>
      </w:r>
      <w:proofErr w:type="spellStart"/>
      <w:r w:rsidRPr="00DD4FA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D4FA8">
        <w:rPr>
          <w:rFonts w:ascii="Times New Roman" w:hAnsi="Times New Roman" w:cs="Times New Roman"/>
          <w:sz w:val="24"/>
          <w:szCs w:val="24"/>
        </w:rPr>
        <w:t xml:space="preserve">), либо иным доступным способом с Исполнителем. Дальнейшие действия по демонтажу и логистике компонентов оборудования Исполнитель берет на себя. </w:t>
      </w:r>
    </w:p>
    <w:p w:rsidR="00754FA5" w:rsidRPr="00DD4FA8" w:rsidRDefault="00754FA5" w:rsidP="00A65A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Гарантийный срок на замененное оборудование в ходе технической поддержки не менее 12 месяцев с момента ввода в эксплуатацию.</w:t>
      </w:r>
    </w:p>
    <w:p w:rsidR="00754FA5" w:rsidRPr="00DD4FA8" w:rsidRDefault="00754FA5" w:rsidP="00A65A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Исполнитель организует поставку отремонтированных или замененных компонентов Оборудования согласно установленным срокам в пункте 1.3. </w:t>
      </w:r>
    </w:p>
    <w:p w:rsidR="00754FA5" w:rsidRPr="00DD4FA8" w:rsidRDefault="00754FA5" w:rsidP="00A65A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Исполнитель может по своему усмотрению отремонтировать или заменить любой неисправный компонент на ранее отремонтированный в фабричных условиях компонент.</w:t>
      </w:r>
    </w:p>
    <w:p w:rsidR="0094244D" w:rsidRPr="00DD4FA8" w:rsidRDefault="00754FA5" w:rsidP="00A65A7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Исполнитель несет ответственность за поддержание в месте установки достаточного количества запасных частей и расходных материалов.</w:t>
      </w:r>
      <w:r w:rsidR="00780833" w:rsidRPr="00DD4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53" w:rsidRPr="00DD4FA8" w:rsidRDefault="0040495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55196374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>Процедура передачи исключительных прав и иных документов на объект</w:t>
      </w:r>
      <w:bookmarkEnd w:id="18"/>
    </w:p>
    <w:p w:rsidR="0094244D" w:rsidRPr="00DD4FA8" w:rsidRDefault="00780833" w:rsidP="00A65A72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Требования не предъявляются.  </w:t>
      </w:r>
    </w:p>
    <w:p w:rsidR="00404953" w:rsidRPr="00DD4FA8" w:rsidRDefault="0040495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55196375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>Требования по техническому обучению персонала</w:t>
      </w:r>
      <w:bookmarkEnd w:id="19"/>
    </w:p>
    <w:p w:rsidR="0094244D" w:rsidRPr="00DD4FA8" w:rsidRDefault="00780833" w:rsidP="00A65A72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 xml:space="preserve">Требования не предъявляются.  </w:t>
      </w:r>
    </w:p>
    <w:p w:rsidR="00404953" w:rsidRPr="00DD4FA8" w:rsidRDefault="0040495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55196376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Дополнительные требования</w:t>
      </w:r>
      <w:bookmarkEnd w:id="20"/>
    </w:p>
    <w:p w:rsidR="00404953" w:rsidRPr="00DD4FA8" w:rsidRDefault="00404953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Обязательным условием оказания услуг по ТП является соблюдение правил действующего внутреннего распорядка Заказчика, контрольно-пропускного режима, внутренних положений, инструкций и требований, о которых Заказчик уведомит Исполнителя. Заказчик предоставляет Исполнителю список и контактные данные персонала, уполномоченного им на контакты с Исполнителем по решению заявленных проблем.</w:t>
      </w:r>
    </w:p>
    <w:p w:rsidR="0094244D" w:rsidRPr="00DD4FA8" w:rsidRDefault="00404953" w:rsidP="00A65A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При изменении контактных данных Службы Сервиса, Исполнитель обязан отправить соответствующее уведомление Заказчику минимум за 3 (три) дня до таких изменений</w:t>
      </w:r>
      <w:r w:rsidR="000E7BDA">
        <w:rPr>
          <w:rFonts w:ascii="Times New Roman" w:hAnsi="Times New Roman" w:cs="Times New Roman"/>
          <w:sz w:val="24"/>
          <w:szCs w:val="24"/>
        </w:rPr>
        <w:t>.</w:t>
      </w:r>
    </w:p>
    <w:p w:rsidR="00404953" w:rsidRPr="00DD4FA8" w:rsidRDefault="00404953" w:rsidP="001D6938">
      <w:pPr>
        <w:spacing w:after="1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55196377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>Перечень принятых сокращений</w:t>
      </w:r>
      <w:bookmarkEnd w:id="21"/>
    </w:p>
    <w:tbl>
      <w:tblPr>
        <w:tblStyle w:val="a3"/>
        <w:tblW w:w="9270" w:type="dxa"/>
        <w:jc w:val="center"/>
        <w:tblLook w:val="04A0" w:firstRow="1" w:lastRow="0" w:firstColumn="1" w:lastColumn="0" w:noHBand="0" w:noVBand="1"/>
      </w:tblPr>
      <w:tblGrid>
        <w:gridCol w:w="1044"/>
        <w:gridCol w:w="2377"/>
        <w:gridCol w:w="5849"/>
      </w:tblGrid>
      <w:tr w:rsidR="00DD4FA8" w:rsidRPr="00DD4FA8">
        <w:trPr>
          <w:trHeight w:val="399"/>
          <w:jc w:val="center"/>
        </w:trPr>
        <w:tc>
          <w:tcPr>
            <w:tcW w:w="1044" w:type="dxa"/>
          </w:tcPr>
          <w:p w:rsidR="0094244D" w:rsidRPr="00DD4FA8" w:rsidRDefault="008710D9" w:rsidP="0089702F">
            <w:pPr>
              <w:contextualSpacing/>
              <w:jc w:val="both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</w:rPr>
              <w:t>№ п/п</w:t>
            </w:r>
          </w:p>
        </w:tc>
        <w:tc>
          <w:tcPr>
            <w:tcW w:w="2377" w:type="dxa"/>
          </w:tcPr>
          <w:p w:rsidR="0094244D" w:rsidRPr="00DD4FA8" w:rsidRDefault="008710D9" w:rsidP="0089702F">
            <w:pPr>
              <w:contextualSpacing/>
              <w:jc w:val="both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</w:rPr>
              <w:t>Сокращение</w:t>
            </w:r>
          </w:p>
        </w:tc>
        <w:tc>
          <w:tcPr>
            <w:tcW w:w="5849" w:type="dxa"/>
          </w:tcPr>
          <w:p w:rsidR="0094244D" w:rsidRPr="00DD4FA8" w:rsidRDefault="008710D9" w:rsidP="0089702F">
            <w:pPr>
              <w:contextualSpacing/>
              <w:jc w:val="both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</w:rPr>
              <w:t>Расшифровка сокращения</w:t>
            </w:r>
          </w:p>
        </w:tc>
      </w:tr>
      <w:tr w:rsidR="00DD4FA8" w:rsidRPr="00DD4FA8">
        <w:trPr>
          <w:trHeight w:val="396"/>
          <w:jc w:val="center"/>
        </w:trPr>
        <w:tc>
          <w:tcPr>
            <w:tcW w:w="1044" w:type="dxa"/>
          </w:tcPr>
          <w:p w:rsidR="0094244D" w:rsidRPr="00DD4FA8" w:rsidRDefault="00872387" w:rsidP="0089702F">
            <w:pPr>
              <w:contextualSpacing/>
              <w:jc w:val="both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94244D" w:rsidRPr="00DD4FA8" w:rsidRDefault="00780833" w:rsidP="0089702F">
            <w:pPr>
              <w:contextualSpacing/>
              <w:jc w:val="both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849" w:type="dxa"/>
          </w:tcPr>
          <w:p w:rsidR="0094244D" w:rsidRPr="00DD4FA8" w:rsidRDefault="00780833" w:rsidP="0089702F">
            <w:pPr>
              <w:contextualSpacing/>
              <w:jc w:val="both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DD4FA8" w:rsidRPr="00DD4FA8">
        <w:trPr>
          <w:trHeight w:val="396"/>
          <w:jc w:val="center"/>
        </w:trPr>
        <w:tc>
          <w:tcPr>
            <w:tcW w:w="1044" w:type="dxa"/>
          </w:tcPr>
          <w:p w:rsidR="0094244D" w:rsidRPr="00DD4FA8" w:rsidRDefault="00872387" w:rsidP="0089702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D4FA8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94244D" w:rsidRPr="00DD4FA8" w:rsidRDefault="00780833" w:rsidP="0089702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D4FA8">
              <w:rPr>
                <w:sz w:val="24"/>
                <w:szCs w:val="24"/>
                <w:lang w:val="en-US"/>
              </w:rPr>
              <w:t>SLA</w:t>
            </w:r>
          </w:p>
        </w:tc>
        <w:tc>
          <w:tcPr>
            <w:tcW w:w="5849" w:type="dxa"/>
          </w:tcPr>
          <w:p w:rsidR="0094244D" w:rsidRPr="00DD4FA8" w:rsidRDefault="00780833" w:rsidP="0089702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D4FA8">
              <w:rPr>
                <w:sz w:val="24"/>
                <w:szCs w:val="24"/>
              </w:rPr>
              <w:t>Service</w:t>
            </w:r>
            <w:proofErr w:type="spellEnd"/>
            <w:r w:rsidRPr="00DD4FA8">
              <w:rPr>
                <w:sz w:val="24"/>
                <w:szCs w:val="24"/>
              </w:rPr>
              <w:t xml:space="preserve"> </w:t>
            </w:r>
            <w:proofErr w:type="spellStart"/>
            <w:r w:rsidRPr="00DD4FA8">
              <w:rPr>
                <w:sz w:val="24"/>
                <w:szCs w:val="24"/>
              </w:rPr>
              <w:t>Level</w:t>
            </w:r>
            <w:proofErr w:type="spellEnd"/>
            <w:r w:rsidRPr="00DD4FA8">
              <w:rPr>
                <w:sz w:val="24"/>
                <w:szCs w:val="24"/>
              </w:rPr>
              <w:t xml:space="preserve"> </w:t>
            </w:r>
            <w:proofErr w:type="spellStart"/>
            <w:r w:rsidRPr="00DD4FA8">
              <w:rPr>
                <w:sz w:val="24"/>
                <w:szCs w:val="24"/>
              </w:rPr>
              <w:t>Agreement</w:t>
            </w:r>
            <w:proofErr w:type="spellEnd"/>
            <w:r w:rsidRPr="00DD4FA8">
              <w:rPr>
                <w:sz w:val="24"/>
                <w:szCs w:val="24"/>
              </w:rPr>
              <w:t xml:space="preserve"> - Соглашение об уровне услуги</w:t>
            </w:r>
          </w:p>
        </w:tc>
      </w:tr>
      <w:tr w:rsidR="006B5A21" w:rsidRPr="00DD4FA8" w:rsidTr="00CD4EC7">
        <w:trPr>
          <w:trHeight w:val="821"/>
          <w:jc w:val="center"/>
        </w:trPr>
        <w:tc>
          <w:tcPr>
            <w:tcW w:w="1044" w:type="dxa"/>
          </w:tcPr>
          <w:p w:rsidR="006B5A21" w:rsidRPr="00DD4FA8" w:rsidRDefault="00872387" w:rsidP="0089702F">
            <w:pPr>
              <w:contextualSpacing/>
              <w:jc w:val="both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6B5A21" w:rsidRPr="00DD4FA8" w:rsidRDefault="006B5A21" w:rsidP="0089702F">
            <w:pPr>
              <w:contextualSpacing/>
              <w:jc w:val="both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  <w:lang w:val="en-US"/>
              </w:rPr>
              <w:t>Patches (</w:t>
            </w:r>
            <w:proofErr w:type="spellStart"/>
            <w:r w:rsidRPr="00DD4FA8">
              <w:rPr>
                <w:sz w:val="24"/>
                <w:szCs w:val="24"/>
              </w:rPr>
              <w:t>патч</w:t>
            </w:r>
            <w:proofErr w:type="spellEnd"/>
            <w:r w:rsidRPr="00DD4FA8">
              <w:rPr>
                <w:sz w:val="24"/>
                <w:szCs w:val="24"/>
              </w:rPr>
              <w:t>)</w:t>
            </w:r>
          </w:p>
        </w:tc>
        <w:tc>
          <w:tcPr>
            <w:tcW w:w="5849" w:type="dxa"/>
          </w:tcPr>
          <w:p w:rsidR="006B5A21" w:rsidRPr="00DD4FA8" w:rsidRDefault="006B5A21" w:rsidP="0089702F">
            <w:pPr>
              <w:contextualSpacing/>
              <w:jc w:val="both"/>
              <w:rPr>
                <w:sz w:val="24"/>
                <w:szCs w:val="24"/>
              </w:rPr>
            </w:pPr>
            <w:r w:rsidRPr="00DD4FA8">
              <w:rPr>
                <w:sz w:val="24"/>
                <w:szCs w:val="24"/>
              </w:rPr>
              <w:t>Автоматизированное отдельно поставляемое программное средство, используемое для устранения проблем в программном обеспечении</w:t>
            </w:r>
          </w:p>
        </w:tc>
      </w:tr>
      <w:tr w:rsidR="003E468B" w:rsidRPr="00DD4FA8" w:rsidTr="003E468B">
        <w:trPr>
          <w:trHeight w:val="592"/>
          <w:jc w:val="center"/>
        </w:trPr>
        <w:tc>
          <w:tcPr>
            <w:tcW w:w="1044" w:type="dxa"/>
          </w:tcPr>
          <w:p w:rsidR="003E468B" w:rsidRPr="00DD4FA8" w:rsidRDefault="003E468B" w:rsidP="008970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3E468B" w:rsidRPr="00DD4FA8" w:rsidRDefault="003E468B" w:rsidP="0089702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0424C">
              <w:rPr>
                <w:sz w:val="24"/>
                <w:szCs w:val="24"/>
              </w:rPr>
              <w:t>RMA</w:t>
            </w:r>
          </w:p>
        </w:tc>
        <w:tc>
          <w:tcPr>
            <w:tcW w:w="5849" w:type="dxa"/>
          </w:tcPr>
          <w:p w:rsidR="003E468B" w:rsidRDefault="003E468B" w:rsidP="0089702F">
            <w:pPr>
              <w:contextualSpacing/>
              <w:rPr>
                <w:sz w:val="24"/>
                <w:szCs w:val="24"/>
              </w:rPr>
            </w:pPr>
            <w:r w:rsidRPr="00D0424C">
              <w:rPr>
                <w:sz w:val="24"/>
                <w:szCs w:val="24"/>
              </w:rPr>
              <w:t>Замена товара по</w:t>
            </w:r>
            <w:r w:rsidRPr="00D0424C">
              <w:rPr>
                <w:sz w:val="24"/>
                <w:szCs w:val="24"/>
              </w:rPr>
              <w:br/>
              <w:t>разрешению на возврат материалов</w:t>
            </w:r>
          </w:p>
        </w:tc>
      </w:tr>
      <w:tr w:rsidR="003E468B" w:rsidRPr="00DD4FA8" w:rsidTr="0089702F">
        <w:trPr>
          <w:trHeight w:val="418"/>
          <w:jc w:val="center"/>
        </w:trPr>
        <w:tc>
          <w:tcPr>
            <w:tcW w:w="1044" w:type="dxa"/>
          </w:tcPr>
          <w:p w:rsidR="003E468B" w:rsidRDefault="003E468B" w:rsidP="008970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3E468B" w:rsidRPr="00004B5D" w:rsidRDefault="003E468B" w:rsidP="0089702F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Firmware (</w:t>
            </w:r>
            <w:r>
              <w:rPr>
                <w:sz w:val="24"/>
                <w:szCs w:val="24"/>
              </w:rPr>
              <w:t>микрокод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849" w:type="dxa"/>
          </w:tcPr>
          <w:p w:rsidR="003E468B" w:rsidRPr="006B5A21" w:rsidRDefault="003E468B" w:rsidP="008970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Прошивка, микрокод</w:t>
            </w:r>
          </w:p>
        </w:tc>
      </w:tr>
      <w:tr w:rsidR="0089702F" w:rsidRPr="00DD4FA8" w:rsidTr="0089702F">
        <w:trPr>
          <w:trHeight w:val="418"/>
          <w:jc w:val="center"/>
        </w:trPr>
        <w:tc>
          <w:tcPr>
            <w:tcW w:w="1044" w:type="dxa"/>
          </w:tcPr>
          <w:p w:rsidR="0089702F" w:rsidRDefault="0089702F" w:rsidP="008970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89702F" w:rsidRPr="0089702F" w:rsidRDefault="0089702F" w:rsidP="008970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5849" w:type="dxa"/>
          </w:tcPr>
          <w:p w:rsidR="0089702F" w:rsidRDefault="0089702F" w:rsidP="008970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Аппаратно-программный комплекс</w:t>
            </w:r>
          </w:p>
        </w:tc>
      </w:tr>
    </w:tbl>
    <w:p w:rsidR="0094244D" w:rsidRPr="00DD4FA8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Pr="009A0FF2" w:rsidRDefault="008710D9" w:rsidP="009A0FF2">
      <w:pPr>
        <w:pStyle w:val="2"/>
        <w:numPr>
          <w:ilvl w:val="0"/>
          <w:numId w:val="17"/>
        </w:numPr>
        <w:spacing w:before="0" w:after="10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55196378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>Перечень приложений</w:t>
      </w:r>
      <w:bookmarkEnd w:id="22"/>
    </w:p>
    <w:p w:rsidR="0094244D" w:rsidRPr="00DD4FA8" w:rsidRDefault="00780833" w:rsidP="00A65A72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FA8">
        <w:rPr>
          <w:rFonts w:ascii="Times New Roman" w:hAnsi="Times New Roman" w:cs="Times New Roman"/>
          <w:sz w:val="24"/>
          <w:szCs w:val="24"/>
        </w:rPr>
        <w:t>Перечень приложений не предъявляется.</w:t>
      </w:r>
    </w:p>
    <w:p w:rsidR="00872387" w:rsidRPr="00DD4FA8" w:rsidRDefault="00872387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80833" w:rsidRPr="009A0FF2" w:rsidRDefault="00780833" w:rsidP="009A0FF2">
      <w:pPr>
        <w:pStyle w:val="2"/>
        <w:numPr>
          <w:ilvl w:val="0"/>
          <w:numId w:val="17"/>
        </w:numPr>
        <w:spacing w:before="0" w:after="10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55196379"/>
      <w:r w:rsidRPr="009A0FF2">
        <w:rPr>
          <w:rFonts w:ascii="Times New Roman" w:hAnsi="Times New Roman" w:cs="Times New Roman"/>
          <w:b/>
          <w:color w:val="auto"/>
          <w:sz w:val="24"/>
          <w:szCs w:val="24"/>
        </w:rPr>
        <w:t>Матрица распределения ответственности при оказании Услуг</w:t>
      </w:r>
      <w:bookmarkEnd w:id="23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270"/>
      </w:tblGrid>
      <w:tr w:rsidR="00DD4FA8" w:rsidRPr="00DD4FA8" w:rsidTr="001D221A">
        <w:tc>
          <w:tcPr>
            <w:tcW w:w="6516" w:type="dxa"/>
          </w:tcPr>
          <w:p w:rsidR="00780833" w:rsidRPr="00DD4FA8" w:rsidRDefault="00780833" w:rsidP="001D6938">
            <w:pPr>
              <w:autoSpaceDE w:val="0"/>
              <w:autoSpaceDN w:val="0"/>
              <w:adjustRightInd w:val="0"/>
              <w:spacing w:after="100" w:line="259" w:lineRule="auto"/>
              <w:rPr>
                <w:b/>
                <w:sz w:val="22"/>
                <w:szCs w:val="22"/>
              </w:rPr>
            </w:pPr>
            <w:r w:rsidRPr="00DD4FA8">
              <w:rPr>
                <w:b/>
                <w:sz w:val="22"/>
                <w:szCs w:val="22"/>
              </w:rPr>
              <w:t>Техническое обслуживание</w:t>
            </w:r>
          </w:p>
        </w:tc>
        <w:tc>
          <w:tcPr>
            <w:tcW w:w="1559" w:type="dxa"/>
            <w:vAlign w:val="center"/>
          </w:tcPr>
          <w:p w:rsidR="00780833" w:rsidRPr="00DD4FA8" w:rsidRDefault="00780833" w:rsidP="001D6938">
            <w:pPr>
              <w:autoSpaceDE w:val="0"/>
              <w:autoSpaceDN w:val="0"/>
              <w:adjustRightInd w:val="0"/>
              <w:spacing w:after="100" w:line="259" w:lineRule="auto"/>
              <w:rPr>
                <w:b/>
                <w:sz w:val="22"/>
                <w:szCs w:val="22"/>
              </w:rPr>
            </w:pPr>
            <w:r w:rsidRPr="00DD4FA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270" w:type="dxa"/>
            <w:vAlign w:val="center"/>
          </w:tcPr>
          <w:p w:rsidR="00780833" w:rsidRPr="00DD4FA8" w:rsidRDefault="00780833" w:rsidP="001D6938">
            <w:pPr>
              <w:autoSpaceDE w:val="0"/>
              <w:autoSpaceDN w:val="0"/>
              <w:adjustRightInd w:val="0"/>
              <w:spacing w:after="100" w:line="259" w:lineRule="auto"/>
              <w:rPr>
                <w:b/>
                <w:sz w:val="22"/>
                <w:szCs w:val="22"/>
              </w:rPr>
            </w:pPr>
            <w:r w:rsidRPr="00DD4FA8">
              <w:rPr>
                <w:b/>
                <w:sz w:val="22"/>
                <w:szCs w:val="22"/>
              </w:rPr>
              <w:t xml:space="preserve">  Заказчик</w:t>
            </w:r>
          </w:p>
        </w:tc>
      </w:tr>
      <w:tr w:rsidR="00DD4FA8" w:rsidRPr="00DD4FA8" w:rsidTr="001D221A">
        <w:trPr>
          <w:trHeight w:val="371"/>
        </w:trPr>
        <w:tc>
          <w:tcPr>
            <w:tcW w:w="9345" w:type="dxa"/>
            <w:gridSpan w:val="3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b/>
                <w:sz w:val="22"/>
                <w:szCs w:val="22"/>
                <w:lang w:eastAsia="ru-RU"/>
              </w:rPr>
              <w:t>Доступность системы</w:t>
            </w:r>
            <w:r w:rsidRPr="00DD4FA8">
              <w:rPr>
                <w:sz w:val="22"/>
                <w:szCs w:val="22"/>
                <w:lang w:eastAsia="ru-RU"/>
              </w:rPr>
              <w:t>  </w:t>
            </w:r>
          </w:p>
        </w:tc>
      </w:tr>
      <w:tr w:rsidR="00DD4FA8" w:rsidRPr="00DD4FA8" w:rsidTr="001D221A">
        <w:tc>
          <w:tcPr>
            <w:tcW w:w="6516" w:type="dxa"/>
          </w:tcPr>
          <w:p w:rsidR="00780833" w:rsidRPr="00DD4FA8" w:rsidRDefault="00780833" w:rsidP="00872387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 xml:space="preserve">Обнаружение и классификация приоритетности проблемы, открытие запроса для решения в </w:t>
            </w:r>
            <w:r w:rsidR="00872387" w:rsidRPr="00DD4FA8">
              <w:rPr>
                <w:sz w:val="22"/>
                <w:szCs w:val="22"/>
                <w:lang w:val="en-US" w:eastAsia="ru-RU"/>
              </w:rPr>
              <w:t>Oracle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A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</w:tr>
      <w:tr w:rsidR="00DD4FA8" w:rsidRPr="00DD4FA8" w:rsidTr="001D221A">
        <w:tc>
          <w:tcPr>
            <w:tcW w:w="6516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 xml:space="preserve">Доставка запчастей, включая таможенную очистку и логистику 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DD4FA8" w:rsidRPr="00DD4FA8" w:rsidTr="001D221A">
        <w:trPr>
          <w:trHeight w:val="230"/>
        </w:trPr>
        <w:tc>
          <w:tcPr>
            <w:tcW w:w="6516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>Установка запасных частей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DD4FA8" w:rsidRPr="00DD4FA8" w:rsidTr="001D221A">
        <w:tc>
          <w:tcPr>
            <w:tcW w:w="6516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>Производить настройку оборудования заказчика по запросу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A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</w:tr>
      <w:tr w:rsidR="00DD4FA8" w:rsidRPr="00DD4FA8" w:rsidTr="001D221A">
        <w:tc>
          <w:tcPr>
            <w:tcW w:w="6516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>Предоставлять статистику решения проблем за отчетный период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DD4FA8" w:rsidRPr="00DD4FA8" w:rsidTr="001D221A">
        <w:tc>
          <w:tcPr>
            <w:tcW w:w="6516" w:type="dxa"/>
          </w:tcPr>
          <w:p w:rsidR="00780833" w:rsidRPr="00DD4FA8" w:rsidRDefault="00780833" w:rsidP="00843885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 xml:space="preserve">Регистрировать все оборудование на </w:t>
            </w:r>
            <w:proofErr w:type="gramStart"/>
            <w:r w:rsidRPr="00DD4FA8">
              <w:rPr>
                <w:sz w:val="22"/>
                <w:szCs w:val="22"/>
                <w:lang w:eastAsia="ru-RU"/>
              </w:rPr>
              <w:t xml:space="preserve">портале  </w:t>
            </w:r>
            <w:r w:rsidR="00843885" w:rsidRPr="00DD4FA8">
              <w:rPr>
                <w:sz w:val="22"/>
                <w:szCs w:val="22"/>
                <w:lang w:val="en-US" w:eastAsia="ru-RU"/>
              </w:rPr>
              <w:t>Oracle</w:t>
            </w:r>
            <w:proofErr w:type="gramEnd"/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DD4FA8" w:rsidRPr="00DD4FA8" w:rsidTr="001D221A">
        <w:tc>
          <w:tcPr>
            <w:tcW w:w="9345" w:type="dxa"/>
            <w:gridSpan w:val="3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b/>
                <w:sz w:val="22"/>
                <w:szCs w:val="22"/>
              </w:rPr>
              <w:t>Обновления, исправления, корректировки программного обеспечения</w:t>
            </w:r>
            <w:r w:rsidRPr="00DD4FA8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D4FA8" w:rsidRPr="00DD4FA8" w:rsidTr="001D221A">
        <w:tc>
          <w:tcPr>
            <w:tcW w:w="6516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>Предоставить метод процедуры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DD4FA8" w:rsidRPr="00DD4FA8" w:rsidTr="001D221A">
        <w:tc>
          <w:tcPr>
            <w:tcW w:w="6516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>Определить время установки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A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</w:tr>
      <w:tr w:rsidR="00DD4FA8" w:rsidRPr="00DD4FA8" w:rsidTr="001D221A">
        <w:tc>
          <w:tcPr>
            <w:tcW w:w="6516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>Установить Программное обеспечения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DD4FA8" w:rsidRPr="00DD4FA8" w:rsidTr="0089702F">
        <w:trPr>
          <w:trHeight w:val="839"/>
        </w:trPr>
        <w:tc>
          <w:tcPr>
            <w:tcW w:w="6516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lastRenderedPageBreak/>
              <w:t>Проверить работу установленного программного обеспечения, решить оставаться ли на новом программном обеспечении или откатиться на старое программное обеспечение</w:t>
            </w:r>
            <w:r w:rsidRPr="00DD4FA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A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</w:tr>
      <w:tr w:rsidR="00DD4FA8" w:rsidRPr="00DD4FA8" w:rsidTr="001D221A">
        <w:tc>
          <w:tcPr>
            <w:tcW w:w="9345" w:type="dxa"/>
            <w:gridSpan w:val="3"/>
            <w:vAlign w:val="center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b/>
                <w:sz w:val="22"/>
                <w:szCs w:val="22"/>
              </w:rPr>
              <w:t>Сервисы для реконфигурации системы и рекомендации</w:t>
            </w:r>
          </w:p>
        </w:tc>
      </w:tr>
      <w:tr w:rsidR="00DD4FA8" w:rsidRPr="00DD4FA8" w:rsidTr="001D221A">
        <w:tc>
          <w:tcPr>
            <w:tcW w:w="6516" w:type="dxa"/>
            <w:vAlign w:val="center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>Предоставить технические требования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</w:tr>
      <w:tr w:rsidR="00DD4FA8" w:rsidRPr="00DD4FA8" w:rsidTr="001D221A">
        <w:tc>
          <w:tcPr>
            <w:tcW w:w="6516" w:type="dxa"/>
            <w:vAlign w:val="center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>Внедрение технических требований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780833" w:rsidRPr="00DD4FA8" w:rsidTr="001D221A">
        <w:tc>
          <w:tcPr>
            <w:tcW w:w="6516" w:type="dxa"/>
            <w:vAlign w:val="center"/>
          </w:tcPr>
          <w:p w:rsidR="00780833" w:rsidRPr="00DD4FA8" w:rsidRDefault="00780833" w:rsidP="001D6938">
            <w:pPr>
              <w:spacing w:after="100" w:line="259" w:lineRule="auto"/>
              <w:ind w:firstLine="22"/>
              <w:rPr>
                <w:sz w:val="22"/>
                <w:szCs w:val="22"/>
                <w:lang w:eastAsia="ru-RU"/>
              </w:rPr>
            </w:pPr>
            <w:r w:rsidRPr="00DD4FA8">
              <w:rPr>
                <w:rFonts w:eastAsiaTheme="minorHAnsi"/>
                <w:sz w:val="22"/>
                <w:szCs w:val="22"/>
              </w:rPr>
              <w:t>Предоставить технические рекомендации</w:t>
            </w:r>
          </w:p>
        </w:tc>
        <w:tc>
          <w:tcPr>
            <w:tcW w:w="1559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DD4FA8" w:rsidRDefault="00780833" w:rsidP="001D6938">
            <w:pPr>
              <w:spacing w:after="100" w:line="259" w:lineRule="auto"/>
              <w:ind w:firstLine="22"/>
              <w:jc w:val="center"/>
              <w:rPr>
                <w:sz w:val="22"/>
                <w:szCs w:val="22"/>
                <w:lang w:eastAsia="ru-RU"/>
              </w:rPr>
            </w:pPr>
            <w:r w:rsidRPr="00DD4FA8">
              <w:rPr>
                <w:sz w:val="22"/>
                <w:szCs w:val="22"/>
                <w:lang w:eastAsia="ru-RU"/>
              </w:rPr>
              <w:t>I</w:t>
            </w:r>
          </w:p>
        </w:tc>
      </w:tr>
    </w:tbl>
    <w:p w:rsidR="00780833" w:rsidRPr="00DD4FA8" w:rsidRDefault="00780833" w:rsidP="001D6938">
      <w:pPr>
        <w:spacing w:after="1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80833" w:rsidRPr="00DD4FA8" w:rsidRDefault="00780833" w:rsidP="001D6938">
      <w:p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FA8">
        <w:rPr>
          <w:rFonts w:ascii="Times New Roman" w:hAnsi="Times New Roman" w:cs="Times New Roman"/>
          <w:i/>
          <w:sz w:val="24"/>
          <w:szCs w:val="24"/>
        </w:rPr>
        <w:t xml:space="preserve">R (от англ. </w:t>
      </w:r>
      <w:proofErr w:type="spellStart"/>
      <w:r w:rsidRPr="00DD4FA8">
        <w:rPr>
          <w:rFonts w:ascii="Times New Roman" w:hAnsi="Times New Roman" w:cs="Times New Roman"/>
          <w:i/>
          <w:sz w:val="24"/>
          <w:szCs w:val="24"/>
        </w:rPr>
        <w:t>Responsible</w:t>
      </w:r>
      <w:proofErr w:type="spellEnd"/>
      <w:r w:rsidRPr="00DD4FA8">
        <w:rPr>
          <w:rFonts w:ascii="Times New Roman" w:hAnsi="Times New Roman" w:cs="Times New Roman"/>
          <w:i/>
          <w:sz w:val="24"/>
          <w:szCs w:val="24"/>
        </w:rPr>
        <w:t xml:space="preserve">) – непосредственный исполнитель; </w:t>
      </w:r>
    </w:p>
    <w:p w:rsidR="00780833" w:rsidRPr="00DD4FA8" w:rsidRDefault="00780833" w:rsidP="001D6938">
      <w:p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FA8">
        <w:rPr>
          <w:rFonts w:ascii="Times New Roman" w:hAnsi="Times New Roman" w:cs="Times New Roman"/>
          <w:i/>
          <w:sz w:val="24"/>
          <w:szCs w:val="24"/>
        </w:rPr>
        <w:t xml:space="preserve">А (от англ. </w:t>
      </w:r>
      <w:proofErr w:type="spellStart"/>
      <w:r w:rsidRPr="00DD4FA8">
        <w:rPr>
          <w:rFonts w:ascii="Times New Roman" w:hAnsi="Times New Roman" w:cs="Times New Roman"/>
          <w:i/>
          <w:sz w:val="24"/>
          <w:szCs w:val="24"/>
        </w:rPr>
        <w:t>Accountable</w:t>
      </w:r>
      <w:proofErr w:type="spellEnd"/>
      <w:r w:rsidRPr="00DD4FA8">
        <w:rPr>
          <w:rFonts w:ascii="Times New Roman" w:hAnsi="Times New Roman" w:cs="Times New Roman"/>
          <w:i/>
          <w:sz w:val="24"/>
          <w:szCs w:val="24"/>
        </w:rPr>
        <w:t xml:space="preserve">) – ответственное лицо, которое руководит работой исполнителя; </w:t>
      </w:r>
    </w:p>
    <w:p w:rsidR="00780833" w:rsidRPr="00DD4FA8" w:rsidRDefault="00780833" w:rsidP="001D6938">
      <w:p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FA8">
        <w:rPr>
          <w:rFonts w:ascii="Times New Roman" w:hAnsi="Times New Roman" w:cs="Times New Roman"/>
          <w:i/>
          <w:sz w:val="24"/>
          <w:szCs w:val="24"/>
        </w:rPr>
        <w:t xml:space="preserve">С (от англ. </w:t>
      </w:r>
      <w:proofErr w:type="spellStart"/>
      <w:r w:rsidRPr="00DD4FA8">
        <w:rPr>
          <w:rFonts w:ascii="Times New Roman" w:hAnsi="Times New Roman" w:cs="Times New Roman"/>
          <w:i/>
          <w:sz w:val="24"/>
          <w:szCs w:val="24"/>
        </w:rPr>
        <w:t>Consulted</w:t>
      </w:r>
      <w:proofErr w:type="spellEnd"/>
      <w:r w:rsidRPr="00DD4FA8">
        <w:rPr>
          <w:rFonts w:ascii="Times New Roman" w:hAnsi="Times New Roman" w:cs="Times New Roman"/>
          <w:i/>
          <w:sz w:val="24"/>
          <w:szCs w:val="24"/>
        </w:rPr>
        <w:t xml:space="preserve">) – консультант (специалист либо эксперт в предметной области, к чьей помощи прибегает ответственное лицо до принятия конкретных решений); </w:t>
      </w:r>
    </w:p>
    <w:p w:rsidR="00780833" w:rsidRPr="00DD4FA8" w:rsidRDefault="00780833" w:rsidP="001D6938">
      <w:p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FA8">
        <w:rPr>
          <w:rFonts w:ascii="Times New Roman" w:hAnsi="Times New Roman" w:cs="Times New Roman"/>
          <w:i/>
          <w:sz w:val="24"/>
          <w:szCs w:val="24"/>
        </w:rPr>
        <w:t xml:space="preserve">І (от англ. </w:t>
      </w:r>
      <w:proofErr w:type="spellStart"/>
      <w:r w:rsidRPr="00DD4FA8">
        <w:rPr>
          <w:rFonts w:ascii="Times New Roman" w:hAnsi="Times New Roman" w:cs="Times New Roman"/>
          <w:i/>
          <w:sz w:val="24"/>
          <w:szCs w:val="24"/>
        </w:rPr>
        <w:t>Informed</w:t>
      </w:r>
      <w:proofErr w:type="spellEnd"/>
      <w:r w:rsidRPr="00DD4FA8">
        <w:rPr>
          <w:rFonts w:ascii="Times New Roman" w:hAnsi="Times New Roman" w:cs="Times New Roman"/>
          <w:i/>
          <w:sz w:val="24"/>
          <w:szCs w:val="24"/>
        </w:rPr>
        <w:t>) – наблюдатель, информируемое лицо (лицо, которое надлежит уведомлять о ходе (либо результатах) выполнения задачи)</w:t>
      </w:r>
    </w:p>
    <w:p w:rsidR="00780833" w:rsidRDefault="00780833" w:rsidP="001D6938">
      <w:pPr>
        <w:spacing w:after="100"/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5529"/>
        <w:gridCol w:w="3826"/>
      </w:tblGrid>
      <w:tr w:rsidR="009A0FF2" w:rsidRPr="00527BEB" w:rsidTr="003B1C7F">
        <w:tc>
          <w:tcPr>
            <w:tcW w:w="5529" w:type="dxa"/>
            <w:shd w:val="clear" w:color="auto" w:fill="auto"/>
          </w:tcPr>
          <w:p w:rsidR="009A0FF2" w:rsidRPr="00527BEB" w:rsidRDefault="009A0FF2" w:rsidP="009A0FF2">
            <w:pPr>
              <w:spacing w:after="0"/>
              <w:ind w:firstLine="326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527BEB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Разработано:</w:t>
            </w:r>
          </w:p>
          <w:p w:rsidR="009A0FF2" w:rsidRPr="00527BEB" w:rsidRDefault="009A0FF2" w:rsidP="009A0FF2">
            <w:pPr>
              <w:tabs>
                <w:tab w:val="left" w:pos="5387"/>
                <w:tab w:val="left" w:pos="7371"/>
              </w:tabs>
              <w:spacing w:after="0"/>
              <w:ind w:firstLine="326"/>
              <w:rPr>
                <w:rFonts w:ascii="Times New Roman" w:hAnsi="Times New Roman"/>
                <w:sz w:val="24"/>
              </w:rPr>
            </w:pPr>
            <w:r w:rsidRPr="00527BEB">
              <w:rPr>
                <w:rFonts w:ascii="Times New Roman" w:hAnsi="Times New Roman"/>
                <w:sz w:val="24"/>
              </w:rPr>
              <w:t xml:space="preserve">Начальник отдела эксплуатации </w:t>
            </w:r>
          </w:p>
          <w:p w:rsidR="009A0FF2" w:rsidRPr="00527BEB" w:rsidRDefault="009A0FF2" w:rsidP="009A0FF2">
            <w:pPr>
              <w:spacing w:after="0"/>
              <w:ind w:firstLine="326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527BEB">
              <w:rPr>
                <w:rFonts w:ascii="Times New Roman" w:hAnsi="Times New Roman"/>
                <w:sz w:val="24"/>
              </w:rPr>
              <w:t>ИТ-инфраструктуры ДИТ ТБ</w:t>
            </w:r>
          </w:p>
        </w:tc>
        <w:tc>
          <w:tcPr>
            <w:tcW w:w="3826" w:type="dxa"/>
            <w:shd w:val="clear" w:color="auto" w:fill="auto"/>
          </w:tcPr>
          <w:p w:rsidR="009A0FF2" w:rsidRPr="00527BEB" w:rsidRDefault="009A0FF2" w:rsidP="009A0FF2">
            <w:pPr>
              <w:spacing w:after="0"/>
              <w:rPr>
                <w:rFonts w:ascii="Times New Roman" w:hAnsi="Times New Roman"/>
                <w:sz w:val="24"/>
              </w:rPr>
            </w:pPr>
            <w:r w:rsidRPr="00527BEB">
              <w:rPr>
                <w:rFonts w:ascii="Times New Roman" w:hAnsi="Times New Roman"/>
                <w:sz w:val="24"/>
              </w:rPr>
              <w:t xml:space="preserve"> </w:t>
            </w:r>
          </w:p>
          <w:p w:rsidR="009A0FF2" w:rsidRPr="00527BEB" w:rsidRDefault="009A0FF2" w:rsidP="003B1C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527BEB">
              <w:rPr>
                <w:rFonts w:ascii="Times New Roman" w:hAnsi="Times New Roman"/>
                <w:sz w:val="24"/>
              </w:rPr>
              <w:t>___________Р.А. Абдульваат</w:t>
            </w:r>
          </w:p>
        </w:tc>
      </w:tr>
      <w:tr w:rsidR="009A0FF2" w:rsidRPr="00527BEB" w:rsidTr="003B1C7F">
        <w:tc>
          <w:tcPr>
            <w:tcW w:w="5529" w:type="dxa"/>
            <w:shd w:val="clear" w:color="auto" w:fill="auto"/>
          </w:tcPr>
          <w:p w:rsidR="009A0FF2" w:rsidRPr="00915D83" w:rsidRDefault="009A0FF2" w:rsidP="009A0FF2">
            <w:pPr>
              <w:rPr>
                <w:rFonts w:ascii="Times New Roman" w:hAnsi="Times New Roman"/>
                <w:b/>
                <w:color w:val="000000"/>
                <w:sz w:val="12"/>
                <w:lang w:eastAsia="ru-RU"/>
              </w:rPr>
            </w:pPr>
          </w:p>
          <w:p w:rsidR="009A0FF2" w:rsidRPr="00527BEB" w:rsidRDefault="009A0FF2" w:rsidP="009A0FF2">
            <w:pPr>
              <w:ind w:firstLine="326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527BEB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Согласовано: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A0FF2" w:rsidRPr="00527BEB" w:rsidRDefault="009A0FF2" w:rsidP="009A0F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9A0FF2" w:rsidRPr="00527BEB" w:rsidTr="003B1C7F">
        <w:trPr>
          <w:trHeight w:val="612"/>
        </w:trPr>
        <w:tc>
          <w:tcPr>
            <w:tcW w:w="5529" w:type="dxa"/>
            <w:shd w:val="clear" w:color="auto" w:fill="auto"/>
            <w:vAlign w:val="center"/>
          </w:tcPr>
          <w:p w:rsidR="009A0FF2" w:rsidRPr="00527BEB" w:rsidRDefault="009A0FF2" w:rsidP="003B1C7F">
            <w:pPr>
              <w:tabs>
                <w:tab w:val="left" w:pos="5387"/>
                <w:tab w:val="left" w:pos="7371"/>
              </w:tabs>
              <w:spacing w:after="0" w:line="240" w:lineRule="auto"/>
              <w:ind w:firstLine="323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527BEB">
              <w:rPr>
                <w:rFonts w:ascii="Times New Roman" w:hAnsi="Times New Roman"/>
                <w:sz w:val="24"/>
              </w:rPr>
              <w:t>Директор по ИТ ДИТ ТБ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A0FF2" w:rsidRPr="003B1C7F" w:rsidRDefault="009A0FF2" w:rsidP="007A6A56">
            <w:pPr>
              <w:tabs>
                <w:tab w:val="left" w:pos="5387"/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7BEB">
              <w:rPr>
                <w:rFonts w:ascii="Times New Roman" w:hAnsi="Times New Roman"/>
                <w:sz w:val="24"/>
              </w:rPr>
              <w:t xml:space="preserve">___________   </w:t>
            </w:r>
            <w:r w:rsidR="007A6A56">
              <w:rPr>
                <w:rFonts w:ascii="Times New Roman" w:hAnsi="Times New Roman"/>
                <w:sz w:val="24"/>
              </w:rPr>
              <w:t>У.А. Мавлянов</w:t>
            </w:r>
            <w:bookmarkStart w:id="24" w:name="_GoBack"/>
            <w:bookmarkEnd w:id="24"/>
            <w:r w:rsidRPr="00527BE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A0FF2" w:rsidRPr="00527BEB" w:rsidTr="003B1C7F">
        <w:trPr>
          <w:trHeight w:val="872"/>
        </w:trPr>
        <w:tc>
          <w:tcPr>
            <w:tcW w:w="5529" w:type="dxa"/>
            <w:shd w:val="clear" w:color="auto" w:fill="auto"/>
            <w:vAlign w:val="center"/>
          </w:tcPr>
          <w:p w:rsidR="009A0FF2" w:rsidRPr="00527BEB" w:rsidRDefault="009A0FF2" w:rsidP="003B1C7F">
            <w:pPr>
              <w:tabs>
                <w:tab w:val="left" w:pos="5387"/>
                <w:tab w:val="left" w:pos="7371"/>
              </w:tabs>
              <w:spacing w:after="0" w:line="240" w:lineRule="auto"/>
              <w:ind w:firstLine="323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  <w:r w:rsidRPr="00527BEB">
              <w:rPr>
                <w:rFonts w:ascii="Times New Roman" w:hAnsi="Times New Roman"/>
                <w:sz w:val="24"/>
              </w:rPr>
              <w:t>ДИТ ТБ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A0FF2" w:rsidRPr="00527BEB" w:rsidRDefault="009A0FF2" w:rsidP="003B1C7F">
            <w:pPr>
              <w:tabs>
                <w:tab w:val="left" w:pos="5387"/>
                <w:tab w:val="left" w:pos="73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527BEB">
              <w:rPr>
                <w:rFonts w:ascii="Times New Roman" w:hAnsi="Times New Roman"/>
                <w:sz w:val="24"/>
              </w:rPr>
              <w:t xml:space="preserve">___________   </w:t>
            </w:r>
            <w:r>
              <w:rPr>
                <w:rFonts w:ascii="Times New Roman" w:hAnsi="Times New Roman"/>
                <w:sz w:val="24"/>
              </w:rPr>
              <w:t>Е.А. Яцкевич</w:t>
            </w:r>
            <w:r w:rsidRPr="00527BE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94244D" w:rsidRPr="00DD4FA8" w:rsidRDefault="007A6A56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94244D" w:rsidRPr="00DD4FA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80" w:rsidRDefault="00163180">
      <w:pPr>
        <w:spacing w:after="0" w:line="240" w:lineRule="auto"/>
      </w:pPr>
      <w:r>
        <w:separator/>
      </w:r>
    </w:p>
  </w:endnote>
  <w:endnote w:type="continuationSeparator" w:id="0">
    <w:p w:rsidR="00163180" w:rsidRDefault="0016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677758"/>
      <w:docPartObj>
        <w:docPartGallery w:val="Page Numbers (Bottom of Page)"/>
        <w:docPartUnique/>
      </w:docPartObj>
    </w:sdtPr>
    <w:sdtEndPr/>
    <w:sdtContent>
      <w:p w:rsidR="0032265C" w:rsidRDefault="003226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56">
          <w:rPr>
            <w:noProof/>
          </w:rPr>
          <w:t>9</w:t>
        </w:r>
        <w:r>
          <w:fldChar w:fldCharType="end"/>
        </w:r>
      </w:p>
    </w:sdtContent>
  </w:sdt>
  <w:p w:rsidR="0032265C" w:rsidRDefault="0032265C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80" w:rsidRDefault="00163180">
      <w:pPr>
        <w:spacing w:after="0" w:line="240" w:lineRule="auto"/>
      </w:pPr>
      <w:r>
        <w:separator/>
      </w:r>
    </w:p>
  </w:footnote>
  <w:footnote w:type="continuationSeparator" w:id="0">
    <w:p w:rsidR="00163180" w:rsidRDefault="0016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5C" w:rsidRDefault="0032265C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E41"/>
    <w:multiLevelType w:val="hybridMultilevel"/>
    <w:tmpl w:val="D94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765"/>
    <w:multiLevelType w:val="hybridMultilevel"/>
    <w:tmpl w:val="B198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112"/>
    <w:multiLevelType w:val="hybridMultilevel"/>
    <w:tmpl w:val="74D8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61913"/>
    <w:multiLevelType w:val="hybridMultilevel"/>
    <w:tmpl w:val="44E46CEE"/>
    <w:lvl w:ilvl="0" w:tplc="5A3E89F6">
      <w:start w:val="4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2963562"/>
    <w:multiLevelType w:val="hybridMultilevel"/>
    <w:tmpl w:val="4D562DC6"/>
    <w:lvl w:ilvl="0" w:tplc="9654B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3F3"/>
    <w:multiLevelType w:val="hybridMultilevel"/>
    <w:tmpl w:val="0674E53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47756A"/>
    <w:multiLevelType w:val="hybridMultilevel"/>
    <w:tmpl w:val="46A6B550"/>
    <w:lvl w:ilvl="0" w:tplc="2304C824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FA0BEF"/>
    <w:multiLevelType w:val="hybridMultilevel"/>
    <w:tmpl w:val="26F4DD8E"/>
    <w:lvl w:ilvl="0" w:tplc="2304C82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B0AE6"/>
    <w:multiLevelType w:val="hybridMultilevel"/>
    <w:tmpl w:val="48C6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771CA"/>
    <w:multiLevelType w:val="hybridMultilevel"/>
    <w:tmpl w:val="DE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478C"/>
    <w:multiLevelType w:val="hybridMultilevel"/>
    <w:tmpl w:val="86281510"/>
    <w:lvl w:ilvl="0" w:tplc="2304C82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73E9"/>
    <w:multiLevelType w:val="multilevel"/>
    <w:tmpl w:val="A51A8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5CDA5CF7"/>
    <w:multiLevelType w:val="hybridMultilevel"/>
    <w:tmpl w:val="928EE312"/>
    <w:lvl w:ilvl="0" w:tplc="C0A27C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6178A9"/>
    <w:multiLevelType w:val="hybridMultilevel"/>
    <w:tmpl w:val="6BFC02E4"/>
    <w:lvl w:ilvl="0" w:tplc="B94C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0642B"/>
    <w:multiLevelType w:val="hybridMultilevel"/>
    <w:tmpl w:val="1814FE06"/>
    <w:lvl w:ilvl="0" w:tplc="5D24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8904B9"/>
    <w:multiLevelType w:val="multilevel"/>
    <w:tmpl w:val="525E69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suff w:val="nothing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A5C0727"/>
    <w:multiLevelType w:val="hybridMultilevel"/>
    <w:tmpl w:val="A390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186E"/>
    <w:multiLevelType w:val="hybridMultilevel"/>
    <w:tmpl w:val="7BD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325E"/>
    <w:multiLevelType w:val="hybridMultilevel"/>
    <w:tmpl w:val="1F403B5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AD639B"/>
    <w:multiLevelType w:val="hybridMultilevel"/>
    <w:tmpl w:val="E35E081C"/>
    <w:lvl w:ilvl="0" w:tplc="2304C82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D1FF6"/>
    <w:multiLevelType w:val="hybridMultilevel"/>
    <w:tmpl w:val="B8067774"/>
    <w:lvl w:ilvl="0" w:tplc="2304C824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D93D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0D3074"/>
    <w:multiLevelType w:val="hybridMultilevel"/>
    <w:tmpl w:val="06FA0620"/>
    <w:lvl w:ilvl="0" w:tplc="C0A27C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2"/>
  </w:num>
  <w:num w:numId="5">
    <w:abstractNumId w:val="12"/>
  </w:num>
  <w:num w:numId="6">
    <w:abstractNumId w:val="0"/>
  </w:num>
  <w:num w:numId="7">
    <w:abstractNumId w:val="17"/>
  </w:num>
  <w:num w:numId="8">
    <w:abstractNumId w:val="1"/>
  </w:num>
  <w:num w:numId="9">
    <w:abstractNumId w:val="2"/>
  </w:num>
  <w:num w:numId="10">
    <w:abstractNumId w:val="6"/>
  </w:num>
  <w:num w:numId="11">
    <w:abstractNumId w:val="18"/>
  </w:num>
  <w:num w:numId="12">
    <w:abstractNumId w:val="15"/>
  </w:num>
  <w:num w:numId="13">
    <w:abstractNumId w:val="16"/>
  </w:num>
  <w:num w:numId="14">
    <w:abstractNumId w:val="13"/>
  </w:num>
  <w:num w:numId="15">
    <w:abstractNumId w:val="5"/>
  </w:num>
  <w:num w:numId="16">
    <w:abstractNumId w:val="14"/>
  </w:num>
  <w:num w:numId="17">
    <w:abstractNumId w:val="21"/>
  </w:num>
  <w:num w:numId="18">
    <w:abstractNumId w:val="19"/>
  </w:num>
  <w:num w:numId="19">
    <w:abstractNumId w:val="4"/>
  </w:num>
  <w:num w:numId="20">
    <w:abstractNumId w:val="20"/>
  </w:num>
  <w:num w:numId="21">
    <w:abstractNumId w:val="3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D"/>
    <w:rsid w:val="00052CF3"/>
    <w:rsid w:val="000762F9"/>
    <w:rsid w:val="00091125"/>
    <w:rsid w:val="000A0F78"/>
    <w:rsid w:val="000A2EEE"/>
    <w:rsid w:val="000E7BDA"/>
    <w:rsid w:val="00102614"/>
    <w:rsid w:val="00115AEE"/>
    <w:rsid w:val="0013024C"/>
    <w:rsid w:val="00163180"/>
    <w:rsid w:val="00164E9C"/>
    <w:rsid w:val="001D221A"/>
    <w:rsid w:val="001D6938"/>
    <w:rsid w:val="001D6C43"/>
    <w:rsid w:val="00214DEC"/>
    <w:rsid w:val="002E254F"/>
    <w:rsid w:val="002E2CEE"/>
    <w:rsid w:val="0032265C"/>
    <w:rsid w:val="00377375"/>
    <w:rsid w:val="00391C1C"/>
    <w:rsid w:val="003B1C7F"/>
    <w:rsid w:val="003E468B"/>
    <w:rsid w:val="003F3FDC"/>
    <w:rsid w:val="00404953"/>
    <w:rsid w:val="004610D3"/>
    <w:rsid w:val="00470885"/>
    <w:rsid w:val="00483DC3"/>
    <w:rsid w:val="00492456"/>
    <w:rsid w:val="00516DD0"/>
    <w:rsid w:val="0054225C"/>
    <w:rsid w:val="00543737"/>
    <w:rsid w:val="005563CC"/>
    <w:rsid w:val="00570982"/>
    <w:rsid w:val="00591F29"/>
    <w:rsid w:val="005D0C1F"/>
    <w:rsid w:val="005E43BD"/>
    <w:rsid w:val="0065463E"/>
    <w:rsid w:val="00667194"/>
    <w:rsid w:val="006B5A21"/>
    <w:rsid w:val="006B7F69"/>
    <w:rsid w:val="006C4EF9"/>
    <w:rsid w:val="00754FA5"/>
    <w:rsid w:val="00780833"/>
    <w:rsid w:val="007A6A56"/>
    <w:rsid w:val="007F1A9E"/>
    <w:rsid w:val="00805CE2"/>
    <w:rsid w:val="00835B2E"/>
    <w:rsid w:val="00843885"/>
    <w:rsid w:val="008710D9"/>
    <w:rsid w:val="00871B0D"/>
    <w:rsid w:val="00872387"/>
    <w:rsid w:val="00874E08"/>
    <w:rsid w:val="0089702F"/>
    <w:rsid w:val="008978CB"/>
    <w:rsid w:val="008A302D"/>
    <w:rsid w:val="008A6FAB"/>
    <w:rsid w:val="008E0D1C"/>
    <w:rsid w:val="008F6BAF"/>
    <w:rsid w:val="0093693B"/>
    <w:rsid w:val="0094244D"/>
    <w:rsid w:val="00973C0D"/>
    <w:rsid w:val="0098037B"/>
    <w:rsid w:val="00992E22"/>
    <w:rsid w:val="009A0FF2"/>
    <w:rsid w:val="00A64313"/>
    <w:rsid w:val="00A65A72"/>
    <w:rsid w:val="00AD687A"/>
    <w:rsid w:val="00B05CA2"/>
    <w:rsid w:val="00B43304"/>
    <w:rsid w:val="00BA2112"/>
    <w:rsid w:val="00BB6B75"/>
    <w:rsid w:val="00BF53CB"/>
    <w:rsid w:val="00C00812"/>
    <w:rsid w:val="00C048ED"/>
    <w:rsid w:val="00C05EEA"/>
    <w:rsid w:val="00CD4EC7"/>
    <w:rsid w:val="00CF258B"/>
    <w:rsid w:val="00D53CD0"/>
    <w:rsid w:val="00D94F95"/>
    <w:rsid w:val="00DA63FE"/>
    <w:rsid w:val="00DD4FA8"/>
    <w:rsid w:val="00DD5DDA"/>
    <w:rsid w:val="00EB106E"/>
    <w:rsid w:val="00EF6220"/>
    <w:rsid w:val="00F03AAC"/>
    <w:rsid w:val="00F5089B"/>
    <w:rsid w:val="00F6281F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CD62B4-18B7-4179-892A-5087CE5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Заголовок_3,Bullet List,FooterText,numbered,List_Paragraph,Multilevel para_II,List Paragraph (numbered (a)),Numbered list,Абзац списка1,List Paragraph1,Абзац списка не нумерованный,Абзац списка литеральный"/>
    <w:basedOn w:val="a"/>
    <w:link w:val="a5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6">
    <w:name w:val="TOC Heading"/>
    <w:basedOn w:val="1"/>
    <w:next w:val="a"/>
    <w:uiPriority w:val="39"/>
    <w:unhideWhenUsed/>
    <w:qFormat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1D6938"/>
    <w:pPr>
      <w:tabs>
        <w:tab w:val="left" w:pos="426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2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lang w:val="ru-RU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  <w:lang w:val="ru-RU"/>
    </w:rPr>
  </w:style>
  <w:style w:type="paragraph" w:styleId="af">
    <w:name w:val="Body Text"/>
    <w:basedOn w:val="a"/>
    <w:link w:val="af0"/>
    <w:qFormat/>
    <w:rsid w:val="00D94F95"/>
    <w:pPr>
      <w:spacing w:after="120" w:line="240" w:lineRule="auto"/>
      <w:ind w:left="1304"/>
    </w:pPr>
    <w:rPr>
      <w:color w:val="000000" w:themeColor="text1"/>
      <w:lang w:val="en-GB"/>
    </w:rPr>
  </w:style>
  <w:style w:type="character" w:customStyle="1" w:styleId="af0">
    <w:name w:val="Основной текст Знак"/>
    <w:basedOn w:val="a0"/>
    <w:link w:val="af"/>
    <w:rsid w:val="00D94F95"/>
    <w:rPr>
      <w:color w:val="000000" w:themeColor="text1"/>
      <w:lang w:val="en-GB"/>
    </w:rPr>
  </w:style>
  <w:style w:type="character" w:customStyle="1" w:styleId="a5">
    <w:name w:val="Абзац списка Знак"/>
    <w:aliases w:val="Содержание. 2 уровень Знак,Заголовок_3 Знак,Bullet List Знак,FooterText Знак,numbered Знак,List_Paragraph Знак,Multilevel para_II Знак,List Paragraph (numbered (a)) Знак,Numbered list Знак,Абзац списка1 Знак,List Paragraph1 Знак"/>
    <w:link w:val="a4"/>
    <w:uiPriority w:val="34"/>
    <w:rsid w:val="006B7F69"/>
    <w:rPr>
      <w:lang w:val="ru-RU"/>
    </w:rPr>
  </w:style>
  <w:style w:type="table" w:customStyle="1" w:styleId="12">
    <w:name w:val="Сетка таблицы1"/>
    <w:basedOn w:val="a1"/>
    <w:next w:val="a3"/>
    <w:uiPriority w:val="59"/>
    <w:rsid w:val="006C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a">
    <w:name w:val="x1a"/>
    <w:basedOn w:val="a0"/>
    <w:rsid w:val="00570982"/>
  </w:style>
  <w:style w:type="character" w:customStyle="1" w:styleId="xic">
    <w:name w:val="xic"/>
    <w:basedOn w:val="a0"/>
    <w:rsid w:val="0057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acle.com/a/ocom/docs/corporate/oracle-premier-support-for-syste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AB3B-B1AB-4210-B91D-946F68EC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2705</Words>
  <Characters>15422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Яцкевич Елена Александровна</dc:creator>
  <cp:keywords/>
  <dc:description/>
  <cp:lastModifiedBy>Яцкевич Елена Александровна</cp:lastModifiedBy>
  <cp:revision>2</cp:revision>
  <cp:lastPrinted>2024-01-04T08:00:00Z</cp:lastPrinted>
  <dcterms:created xsi:type="dcterms:W3CDTF">2024-12-18T06:58:00Z</dcterms:created>
  <dcterms:modified xsi:type="dcterms:W3CDTF">2024-12-18T06:58:00Z</dcterms:modified>
</cp:coreProperties>
</file>